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437" w:rsidRPr="00605476" w:rsidRDefault="00F44500" w:rsidP="00C65437">
      <w:pPr>
        <w:spacing w:line="520" w:lineRule="exact"/>
        <w:jc w:val="center"/>
        <w:rPr>
          <w:rFonts w:ascii="標楷體" w:eastAsia="標楷體" w:hAnsi="標楷體"/>
          <w:b/>
          <w:sz w:val="36"/>
          <w:u w:val="single"/>
        </w:rPr>
      </w:pPr>
      <w:bookmarkStart w:id="0" w:name="_GoBack"/>
      <w:bookmarkEnd w:id="0"/>
      <w:r>
        <w:rPr>
          <w:rFonts w:ascii="標楷體" w:eastAsia="標楷體" w:hAnsi="標楷體" w:hint="eastAsia"/>
          <w:b/>
          <w:sz w:val="36"/>
        </w:rPr>
        <w:t>中華民國手球協會</w:t>
      </w:r>
      <w:r w:rsidR="00C65437" w:rsidRPr="00605476">
        <w:rPr>
          <w:rFonts w:ascii="標楷體" w:eastAsia="標楷體" w:hAnsi="標楷體" w:hint="eastAsia"/>
          <w:b/>
          <w:sz w:val="36"/>
        </w:rPr>
        <w:t>投標廠商評審須知</w:t>
      </w:r>
    </w:p>
    <w:p w:rsidR="00C65437" w:rsidRPr="00F44500" w:rsidRDefault="00C65437" w:rsidP="00C65437">
      <w:pPr>
        <w:spacing w:line="520" w:lineRule="exact"/>
        <w:rPr>
          <w:rFonts w:ascii="標楷體" w:eastAsia="標楷體" w:hAnsi="標楷體"/>
          <w:color w:val="0070C0"/>
          <w:sz w:val="28"/>
          <w:szCs w:val="28"/>
        </w:rPr>
      </w:pPr>
      <w:r w:rsidRPr="00605476">
        <w:rPr>
          <w:rFonts w:ascii="標楷體" w:eastAsia="標楷體" w:hAnsi="標楷體" w:hint="eastAsia"/>
          <w:sz w:val="28"/>
          <w:szCs w:val="28"/>
        </w:rPr>
        <w:t>案號：</w:t>
      </w:r>
      <w:r w:rsidR="00F44500" w:rsidRPr="00F44500">
        <w:rPr>
          <w:rFonts w:ascii="標楷體" w:eastAsia="標楷體" w:hAnsi="標楷體" w:hint="eastAsia"/>
          <w:color w:val="0070C0"/>
          <w:sz w:val="28"/>
          <w:szCs w:val="28"/>
        </w:rPr>
        <w:t>H</w:t>
      </w:r>
      <w:r w:rsidR="00F44500" w:rsidRPr="00F44500">
        <w:rPr>
          <w:rFonts w:ascii="標楷體" w:eastAsia="標楷體" w:hAnsi="標楷體"/>
          <w:color w:val="0070C0"/>
          <w:sz w:val="28"/>
          <w:szCs w:val="28"/>
        </w:rPr>
        <w:t>B1120607</w:t>
      </w:r>
    </w:p>
    <w:p w:rsidR="00C65437" w:rsidRPr="00605476" w:rsidRDefault="00C65437" w:rsidP="00C65437">
      <w:pPr>
        <w:spacing w:line="520" w:lineRule="exact"/>
        <w:rPr>
          <w:rFonts w:ascii="標楷體" w:eastAsia="標楷體" w:hAnsi="標楷體"/>
          <w:sz w:val="32"/>
          <w:u w:val="single"/>
        </w:rPr>
      </w:pPr>
      <w:proofErr w:type="gramStart"/>
      <w:r w:rsidRPr="00605476">
        <w:rPr>
          <w:rFonts w:ascii="標楷體" w:eastAsia="標楷體" w:hAnsi="標楷體" w:hint="eastAsia"/>
          <w:sz w:val="28"/>
          <w:szCs w:val="28"/>
        </w:rPr>
        <w:t>案名</w:t>
      </w:r>
      <w:proofErr w:type="gramEnd"/>
      <w:r w:rsidRPr="00605476">
        <w:rPr>
          <w:rFonts w:ascii="標楷體" w:eastAsia="標楷體" w:hAnsi="標楷體" w:hint="eastAsia"/>
          <w:sz w:val="28"/>
          <w:szCs w:val="28"/>
        </w:rPr>
        <w:t>：</w:t>
      </w:r>
      <w:r w:rsidR="00F44500" w:rsidRPr="00F44500">
        <w:rPr>
          <w:rFonts w:eastAsia="標楷體" w:hint="eastAsia"/>
          <w:color w:val="0070C0"/>
          <w:sz w:val="28"/>
        </w:rPr>
        <w:t>參加</w:t>
      </w:r>
      <w:proofErr w:type="gramStart"/>
      <w:r w:rsidR="00F44500" w:rsidRPr="00F44500">
        <w:rPr>
          <w:rFonts w:eastAsia="標楷體" w:hint="eastAsia"/>
          <w:color w:val="0070C0"/>
          <w:sz w:val="28"/>
        </w:rPr>
        <w:t>112</w:t>
      </w:r>
      <w:proofErr w:type="gramEnd"/>
      <w:r w:rsidR="00F44500" w:rsidRPr="00F44500">
        <w:rPr>
          <w:rFonts w:eastAsia="標楷體" w:hint="eastAsia"/>
          <w:color w:val="0070C0"/>
          <w:sz w:val="28"/>
        </w:rPr>
        <w:t>年度第</w:t>
      </w:r>
      <w:r w:rsidR="00F44500" w:rsidRPr="00F44500">
        <w:rPr>
          <w:rFonts w:eastAsia="標楷體" w:hint="eastAsia"/>
          <w:color w:val="0070C0"/>
          <w:sz w:val="28"/>
        </w:rPr>
        <w:t>17</w:t>
      </w:r>
      <w:r w:rsidR="00F44500" w:rsidRPr="00F44500">
        <w:rPr>
          <w:rFonts w:eastAsia="標楷體" w:hint="eastAsia"/>
          <w:color w:val="0070C0"/>
          <w:sz w:val="28"/>
        </w:rPr>
        <w:t>屆亞洲青年女子手球錦標賽往返機票採購</w:t>
      </w:r>
    </w:p>
    <w:p w:rsidR="000F0589" w:rsidRPr="00605476" w:rsidRDefault="00C65437" w:rsidP="00C65437">
      <w:pPr>
        <w:numPr>
          <w:ilvl w:val="0"/>
          <w:numId w:val="1"/>
        </w:numPr>
        <w:adjustRightInd/>
        <w:spacing w:line="440" w:lineRule="exact"/>
        <w:jc w:val="both"/>
        <w:textAlignment w:val="auto"/>
        <w:rPr>
          <w:rFonts w:ascii="標楷體" w:eastAsia="標楷體" w:hAnsi="標楷體"/>
          <w:sz w:val="28"/>
        </w:rPr>
      </w:pPr>
      <w:r w:rsidRPr="00605476">
        <w:rPr>
          <w:rFonts w:ascii="標楷體" w:eastAsia="標楷體" w:hAnsi="標楷體" w:hint="eastAsia"/>
          <w:sz w:val="28"/>
        </w:rPr>
        <w:t>投標廠商之資格及評審項目以外資料經審查合格者，其所提企劃書由本機關成立評審小組，依招標文件規定辦理書面及廠商簡報說明評審。</w:t>
      </w:r>
    </w:p>
    <w:p w:rsidR="000F0589" w:rsidRPr="00605476" w:rsidRDefault="000F0589" w:rsidP="000F0589">
      <w:pPr>
        <w:numPr>
          <w:ilvl w:val="0"/>
          <w:numId w:val="1"/>
        </w:numPr>
        <w:adjustRightInd/>
        <w:snapToGrid w:val="0"/>
        <w:spacing w:line="440" w:lineRule="exact"/>
        <w:textAlignment w:val="auto"/>
        <w:rPr>
          <w:rFonts w:ascii="標楷體" w:eastAsia="標楷體" w:hAnsi="標楷體"/>
          <w:sz w:val="28"/>
        </w:rPr>
      </w:pPr>
      <w:r w:rsidRPr="00605476">
        <w:rPr>
          <w:rFonts w:ascii="標楷體" w:eastAsia="標楷體" w:hAnsi="標楷體" w:hint="eastAsia"/>
          <w:sz w:val="28"/>
        </w:rPr>
        <w:t>評審作業：</w:t>
      </w:r>
    </w:p>
    <w:p w:rsidR="00DA6A07" w:rsidRPr="00605476" w:rsidRDefault="00DA6A07" w:rsidP="00DA6A07">
      <w:pPr>
        <w:tabs>
          <w:tab w:val="left" w:pos="6360"/>
          <w:tab w:val="left" w:pos="7740"/>
        </w:tabs>
        <w:snapToGrid w:val="0"/>
        <w:spacing w:line="440" w:lineRule="exact"/>
        <w:ind w:leftChars="300" w:left="1560" w:rightChars="28" w:right="67" w:hangingChars="300" w:hanging="840"/>
        <w:jc w:val="both"/>
        <w:rPr>
          <w:rFonts w:ascii="標楷體" w:eastAsia="標楷體" w:hAnsi="標楷體"/>
          <w:sz w:val="28"/>
        </w:rPr>
      </w:pPr>
      <w:r w:rsidRPr="00605476">
        <w:rPr>
          <w:rFonts w:ascii="標楷體" w:eastAsia="標楷體" w:hAnsi="標楷體" w:hint="eastAsia"/>
          <w:sz w:val="28"/>
        </w:rPr>
        <w:t>（一）投標文件經審查合於招標文件規定者，始得為協商及評審之對象。</w:t>
      </w:r>
    </w:p>
    <w:p w:rsidR="00DA6A07" w:rsidRPr="00605476" w:rsidRDefault="00DA6A07" w:rsidP="00DA6A07">
      <w:pPr>
        <w:tabs>
          <w:tab w:val="left" w:pos="6360"/>
          <w:tab w:val="left" w:pos="7740"/>
        </w:tabs>
        <w:snapToGrid w:val="0"/>
        <w:spacing w:line="440" w:lineRule="exact"/>
        <w:ind w:leftChars="300" w:left="1560" w:rightChars="28" w:right="67" w:hangingChars="300" w:hanging="840"/>
        <w:jc w:val="both"/>
        <w:rPr>
          <w:rFonts w:ascii="標楷體" w:eastAsia="標楷體" w:hAnsi="標楷體"/>
          <w:sz w:val="28"/>
        </w:rPr>
      </w:pPr>
      <w:r w:rsidRPr="00605476">
        <w:rPr>
          <w:rFonts w:ascii="標楷體" w:eastAsia="標楷體" w:hAnsi="標楷體" w:hint="eastAsia"/>
          <w:sz w:val="28"/>
        </w:rPr>
        <w:t>（二）符合本案招標文件規定之廠商，評審小組以書面審查及廠商簡報說明答</w:t>
      </w:r>
      <w:proofErr w:type="gramStart"/>
      <w:r w:rsidRPr="00605476">
        <w:rPr>
          <w:rFonts w:ascii="標楷體" w:eastAsia="標楷體" w:hAnsi="標楷體" w:hint="eastAsia"/>
          <w:sz w:val="28"/>
        </w:rPr>
        <w:t>詢</w:t>
      </w:r>
      <w:proofErr w:type="gramEnd"/>
      <w:r w:rsidRPr="00605476">
        <w:rPr>
          <w:rFonts w:ascii="標楷體" w:eastAsia="標楷體" w:hAnsi="標楷體" w:hint="eastAsia"/>
          <w:sz w:val="28"/>
        </w:rPr>
        <w:t>進行評分。</w:t>
      </w:r>
    </w:p>
    <w:p w:rsidR="00DA6A07" w:rsidRPr="00605476" w:rsidRDefault="00DA6A07" w:rsidP="00DA6A07">
      <w:pPr>
        <w:tabs>
          <w:tab w:val="left" w:pos="6360"/>
          <w:tab w:val="left" w:pos="7740"/>
        </w:tabs>
        <w:snapToGrid w:val="0"/>
        <w:spacing w:line="440" w:lineRule="exact"/>
        <w:ind w:leftChars="300" w:left="1560" w:rightChars="28" w:right="67" w:hangingChars="300" w:hanging="840"/>
        <w:jc w:val="both"/>
        <w:rPr>
          <w:rFonts w:ascii="標楷體" w:eastAsia="標楷體" w:hAnsi="標楷體"/>
          <w:sz w:val="28"/>
        </w:rPr>
      </w:pPr>
      <w:r w:rsidRPr="00605476">
        <w:rPr>
          <w:rFonts w:ascii="標楷體" w:eastAsia="標楷體" w:hAnsi="標楷體" w:hint="eastAsia"/>
          <w:sz w:val="28"/>
        </w:rPr>
        <w:t>（三）符合資格標之廠商進行10分鐘簡報說明、</w:t>
      </w:r>
      <w:r w:rsidR="00F44500">
        <w:rPr>
          <w:rFonts w:ascii="標楷體" w:eastAsia="標楷體" w:hAnsi="標楷體" w:hint="eastAsia"/>
          <w:sz w:val="28"/>
        </w:rPr>
        <w:t>5</w:t>
      </w:r>
      <w:r w:rsidRPr="00605476">
        <w:rPr>
          <w:rFonts w:ascii="標楷體" w:eastAsia="標楷體" w:hAnsi="標楷體" w:hint="eastAsia"/>
          <w:sz w:val="28"/>
        </w:rPr>
        <w:t>分鐘答</w:t>
      </w:r>
      <w:proofErr w:type="gramStart"/>
      <w:r w:rsidRPr="00605476">
        <w:rPr>
          <w:rFonts w:ascii="標楷體" w:eastAsia="標楷體" w:hAnsi="標楷體" w:hint="eastAsia"/>
          <w:sz w:val="28"/>
        </w:rPr>
        <w:t>詢</w:t>
      </w:r>
      <w:proofErr w:type="gramEnd"/>
      <w:r w:rsidRPr="00605476">
        <w:rPr>
          <w:rFonts w:ascii="標楷體" w:eastAsia="標楷體" w:hAnsi="標楷體" w:hint="eastAsia"/>
          <w:sz w:val="28"/>
        </w:rPr>
        <w:t>，本</w:t>
      </w:r>
      <w:r w:rsidR="00F44500">
        <w:rPr>
          <w:rFonts w:ascii="標楷體" w:eastAsia="標楷體" w:hAnsi="標楷體" w:hint="eastAsia"/>
          <w:sz w:val="28"/>
        </w:rPr>
        <w:t>會不</w:t>
      </w:r>
      <w:r w:rsidRPr="00605476">
        <w:rPr>
          <w:rFonts w:ascii="標楷體" w:eastAsia="標楷體" w:hAnsi="標楷體" w:hint="eastAsia"/>
          <w:sz w:val="28"/>
        </w:rPr>
        <w:t>提供</w:t>
      </w:r>
      <w:r w:rsidR="00F44500">
        <w:rPr>
          <w:rFonts w:ascii="標楷體" w:eastAsia="標楷體" w:hAnsi="標楷體" w:hint="eastAsia"/>
          <w:sz w:val="28"/>
        </w:rPr>
        <w:t>電子設備</w:t>
      </w:r>
      <w:r w:rsidRPr="00605476">
        <w:rPr>
          <w:rFonts w:ascii="標楷體" w:eastAsia="標楷體" w:hAnsi="標楷體" w:hint="eastAsia"/>
          <w:sz w:val="28"/>
        </w:rPr>
        <w:t>，所需</w:t>
      </w:r>
      <w:r w:rsidR="00F44500">
        <w:rPr>
          <w:rFonts w:ascii="標楷體" w:eastAsia="標楷體" w:hAnsi="標楷體" w:hint="eastAsia"/>
          <w:sz w:val="28"/>
        </w:rPr>
        <w:t>簡報設備</w:t>
      </w:r>
      <w:r w:rsidRPr="00605476">
        <w:rPr>
          <w:rFonts w:ascii="標楷體" w:eastAsia="標楷體" w:hAnsi="標楷體" w:hint="eastAsia"/>
          <w:sz w:val="28"/>
        </w:rPr>
        <w:t>請</w:t>
      </w:r>
      <w:r w:rsidR="00F44500">
        <w:rPr>
          <w:rFonts w:ascii="標楷體" w:eastAsia="標楷體" w:hAnsi="標楷體" w:hint="eastAsia"/>
          <w:sz w:val="28"/>
        </w:rPr>
        <w:t>廠商</w:t>
      </w:r>
      <w:r w:rsidRPr="00605476">
        <w:rPr>
          <w:rFonts w:ascii="標楷體" w:eastAsia="標楷體" w:hAnsi="標楷體" w:hint="eastAsia"/>
          <w:sz w:val="28"/>
        </w:rPr>
        <w:t>自備。</w:t>
      </w:r>
    </w:p>
    <w:p w:rsidR="00DA6A07" w:rsidRPr="00605476" w:rsidRDefault="00DA6A07" w:rsidP="00DA6A07">
      <w:pPr>
        <w:tabs>
          <w:tab w:val="left" w:pos="6360"/>
          <w:tab w:val="left" w:pos="7740"/>
        </w:tabs>
        <w:snapToGrid w:val="0"/>
        <w:spacing w:line="440" w:lineRule="exact"/>
        <w:ind w:leftChars="300" w:left="1560" w:rightChars="28" w:right="67" w:hangingChars="300" w:hanging="840"/>
        <w:jc w:val="both"/>
        <w:rPr>
          <w:rFonts w:ascii="標楷體" w:eastAsia="標楷體" w:hAnsi="標楷體"/>
          <w:sz w:val="28"/>
        </w:rPr>
      </w:pPr>
      <w:r w:rsidRPr="00605476">
        <w:rPr>
          <w:rFonts w:ascii="標楷體" w:eastAsia="標楷體" w:hAnsi="標楷體" w:hint="eastAsia"/>
          <w:sz w:val="28"/>
        </w:rPr>
        <w:t>（四）參加評審之廠商負責人需親自出席，或出具書面授權書正本指派公司人員（至多2人）出席評審說明會，且經資格審查合格之廠商始得進行企劃說明，</w:t>
      </w:r>
      <w:proofErr w:type="gramStart"/>
      <w:r w:rsidRPr="00605476">
        <w:rPr>
          <w:rFonts w:ascii="標楷體" w:eastAsia="標楷體" w:hAnsi="標楷體" w:hint="eastAsia"/>
          <w:sz w:val="28"/>
        </w:rPr>
        <w:t>未輪到</w:t>
      </w:r>
      <w:proofErr w:type="gramEnd"/>
      <w:r w:rsidRPr="00605476">
        <w:rPr>
          <w:rFonts w:ascii="標楷體" w:eastAsia="標楷體" w:hAnsi="標楷體" w:hint="eastAsia"/>
          <w:sz w:val="28"/>
        </w:rPr>
        <w:t>簡介之廠商須嚴守迴避原則。</w:t>
      </w:r>
    </w:p>
    <w:p w:rsidR="00DA6A07" w:rsidRDefault="00DA6A07" w:rsidP="00DA6A07">
      <w:pPr>
        <w:tabs>
          <w:tab w:val="left" w:pos="6360"/>
          <w:tab w:val="left" w:pos="7740"/>
        </w:tabs>
        <w:snapToGrid w:val="0"/>
        <w:spacing w:line="440" w:lineRule="exact"/>
        <w:ind w:leftChars="300" w:left="1560" w:rightChars="28" w:right="67" w:hangingChars="300" w:hanging="840"/>
        <w:jc w:val="both"/>
        <w:rPr>
          <w:rFonts w:ascii="標楷體" w:eastAsia="標楷體" w:hAnsi="標楷體"/>
          <w:sz w:val="28"/>
        </w:rPr>
      </w:pPr>
      <w:r w:rsidRPr="00605476">
        <w:rPr>
          <w:rFonts w:ascii="標楷體" w:eastAsia="標楷體" w:hAnsi="標楷體" w:hint="eastAsia"/>
          <w:sz w:val="28"/>
        </w:rPr>
        <w:t>（五）投標之廠商須於</w:t>
      </w:r>
      <w:proofErr w:type="gramStart"/>
      <w:r w:rsidRPr="00605476">
        <w:rPr>
          <w:rFonts w:ascii="標楷體" w:eastAsia="標楷體" w:hAnsi="標楷體" w:hint="eastAsia"/>
          <w:sz w:val="28"/>
        </w:rPr>
        <w:t>投標時檢附</w:t>
      </w:r>
      <w:proofErr w:type="gramEnd"/>
      <w:r w:rsidRPr="00605476">
        <w:rPr>
          <w:rFonts w:ascii="標楷體" w:eastAsia="標楷體" w:hAnsi="標楷體" w:hint="eastAsia"/>
          <w:sz w:val="28"/>
        </w:rPr>
        <w:t>企劃書</w:t>
      </w:r>
      <w:r w:rsidR="00F44500">
        <w:rPr>
          <w:rFonts w:ascii="標楷體" w:eastAsia="標楷體" w:hAnsi="標楷體" w:hint="eastAsia"/>
          <w:sz w:val="28"/>
        </w:rPr>
        <w:t>5</w:t>
      </w:r>
      <w:r w:rsidRPr="00605476">
        <w:rPr>
          <w:rFonts w:ascii="標楷體" w:eastAsia="標楷體" w:hAnsi="標楷體" w:hint="eastAsia"/>
          <w:sz w:val="28"/>
        </w:rPr>
        <w:t>份，供評審之用（企劃書均置於外標封內）。</w:t>
      </w:r>
    </w:p>
    <w:p w:rsidR="00F44500" w:rsidRDefault="00F44500" w:rsidP="00DA6A07">
      <w:pPr>
        <w:tabs>
          <w:tab w:val="left" w:pos="6360"/>
          <w:tab w:val="left" w:pos="7740"/>
        </w:tabs>
        <w:snapToGrid w:val="0"/>
        <w:spacing w:line="440" w:lineRule="exact"/>
        <w:ind w:leftChars="300" w:left="1560" w:rightChars="28" w:right="67" w:hangingChars="300" w:hanging="840"/>
        <w:jc w:val="both"/>
        <w:rPr>
          <w:rFonts w:ascii="標楷體" w:eastAsia="標楷體" w:hAnsi="標楷體"/>
          <w:sz w:val="28"/>
        </w:rPr>
      </w:pPr>
      <w:r w:rsidRPr="00605476">
        <w:rPr>
          <w:rFonts w:ascii="標楷體" w:eastAsia="標楷體" w:hAnsi="標楷體" w:hint="eastAsia"/>
          <w:sz w:val="28"/>
        </w:rPr>
        <w:t>（</w:t>
      </w:r>
      <w:r>
        <w:rPr>
          <w:rFonts w:ascii="標楷體" w:eastAsia="標楷體" w:hAnsi="標楷體" w:hint="eastAsia"/>
          <w:sz w:val="28"/>
        </w:rPr>
        <w:t>六</w:t>
      </w:r>
      <w:r w:rsidRPr="00605476">
        <w:rPr>
          <w:rFonts w:ascii="標楷體" w:eastAsia="標楷體" w:hAnsi="標楷體" w:hint="eastAsia"/>
          <w:sz w:val="28"/>
        </w:rPr>
        <w:t>）</w:t>
      </w:r>
      <w:r w:rsidRPr="00F44500">
        <w:rPr>
          <w:rFonts w:ascii="標楷體" w:eastAsia="標楷體" w:hAnsi="標楷體" w:hint="eastAsia"/>
          <w:sz w:val="28"/>
        </w:rPr>
        <w:t>企劃書製作規格請以中文楷書、</w:t>
      </w:r>
      <w:proofErr w:type="gramStart"/>
      <w:r w:rsidRPr="00F44500">
        <w:rPr>
          <w:rFonts w:ascii="標楷體" w:eastAsia="標楷體" w:hAnsi="標楷體" w:hint="eastAsia"/>
          <w:sz w:val="28"/>
        </w:rPr>
        <w:t>直式橫書</w:t>
      </w:r>
      <w:proofErr w:type="gramEnd"/>
      <w:r w:rsidRPr="00F44500">
        <w:rPr>
          <w:rFonts w:ascii="標楷體" w:eastAsia="標楷體" w:hAnsi="標楷體" w:hint="eastAsia"/>
          <w:sz w:val="28"/>
        </w:rPr>
        <w:t>、14號字繕打，並以A4大小紙張、加封面、左邊裝訂成冊。</w:t>
      </w:r>
    </w:p>
    <w:p w:rsidR="00F44500" w:rsidRPr="00605476" w:rsidRDefault="00F44500" w:rsidP="00DA6A07">
      <w:pPr>
        <w:tabs>
          <w:tab w:val="left" w:pos="6360"/>
          <w:tab w:val="left" w:pos="7740"/>
        </w:tabs>
        <w:snapToGrid w:val="0"/>
        <w:spacing w:line="440" w:lineRule="exact"/>
        <w:ind w:leftChars="300" w:left="1560" w:rightChars="28" w:right="67" w:hangingChars="300" w:hanging="840"/>
        <w:jc w:val="both"/>
        <w:rPr>
          <w:rFonts w:ascii="標楷體" w:eastAsia="標楷體" w:hAnsi="標楷體"/>
          <w:sz w:val="28"/>
        </w:rPr>
      </w:pPr>
      <w:r w:rsidRPr="00605476">
        <w:rPr>
          <w:rFonts w:ascii="標楷體" w:eastAsia="標楷體" w:hAnsi="標楷體" w:hint="eastAsia"/>
          <w:sz w:val="28"/>
        </w:rPr>
        <w:t>（</w:t>
      </w:r>
      <w:r>
        <w:rPr>
          <w:rFonts w:ascii="標楷體" w:eastAsia="標楷體" w:hAnsi="標楷體" w:hint="eastAsia"/>
          <w:sz w:val="28"/>
        </w:rPr>
        <w:t>七</w:t>
      </w:r>
      <w:r w:rsidRPr="00605476">
        <w:rPr>
          <w:rFonts w:ascii="標楷體" w:eastAsia="標楷體" w:hAnsi="標楷體" w:hint="eastAsia"/>
          <w:sz w:val="28"/>
        </w:rPr>
        <w:t>）</w:t>
      </w:r>
      <w:r w:rsidRPr="00F44500">
        <w:rPr>
          <w:rFonts w:ascii="標楷體" w:eastAsia="標楷體" w:hAnsi="標楷體" w:hint="eastAsia"/>
          <w:sz w:val="28"/>
        </w:rPr>
        <w:t>受評廠商經本小組唱名三次未到者，視為放棄「簡報暨答</w:t>
      </w:r>
      <w:proofErr w:type="gramStart"/>
      <w:r w:rsidRPr="00F44500">
        <w:rPr>
          <w:rFonts w:ascii="標楷體" w:eastAsia="標楷體" w:hAnsi="標楷體" w:hint="eastAsia"/>
          <w:sz w:val="28"/>
        </w:rPr>
        <w:t>詢</w:t>
      </w:r>
      <w:proofErr w:type="gramEnd"/>
      <w:r w:rsidRPr="00F44500">
        <w:rPr>
          <w:rFonts w:ascii="標楷體" w:eastAsia="標楷體" w:hAnsi="標楷體" w:hint="eastAsia"/>
          <w:sz w:val="28"/>
        </w:rPr>
        <w:t>」之機會，本小組得就逕行對該「企劃書」評審（分），逾排定時間內始到場者，就所餘時間簡報暨答詢。</w:t>
      </w:r>
    </w:p>
    <w:p w:rsidR="000F0589" w:rsidRPr="00605476" w:rsidRDefault="000F0589" w:rsidP="000F0589">
      <w:pPr>
        <w:numPr>
          <w:ilvl w:val="0"/>
          <w:numId w:val="1"/>
        </w:numPr>
        <w:adjustRightInd/>
        <w:spacing w:line="440" w:lineRule="exact"/>
        <w:textAlignment w:val="auto"/>
        <w:rPr>
          <w:rFonts w:ascii="標楷體" w:eastAsia="標楷體" w:hAnsi="標楷體"/>
          <w:sz w:val="28"/>
        </w:rPr>
      </w:pPr>
      <w:r w:rsidRPr="00605476">
        <w:rPr>
          <w:rFonts w:ascii="標楷體" w:eastAsia="標楷體" w:hAnsi="標楷體" w:hint="eastAsia"/>
          <w:sz w:val="28"/>
        </w:rPr>
        <w:t>評審標準</w:t>
      </w:r>
    </w:p>
    <w:tbl>
      <w:tblPr>
        <w:tblW w:w="82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5103"/>
        <w:gridCol w:w="1071"/>
      </w:tblGrid>
      <w:tr w:rsidR="00605476" w:rsidRPr="00605476" w:rsidTr="00DA6A07">
        <w:trPr>
          <w:tblHeader/>
        </w:trPr>
        <w:tc>
          <w:tcPr>
            <w:tcW w:w="2106" w:type="dxa"/>
            <w:shd w:val="clear" w:color="auto" w:fill="E6E6E6"/>
          </w:tcPr>
          <w:p w:rsidR="000F0589" w:rsidRPr="00605476" w:rsidRDefault="000F0589" w:rsidP="002A1633">
            <w:pPr>
              <w:spacing w:before="120" w:line="0" w:lineRule="atLeast"/>
              <w:jc w:val="center"/>
              <w:rPr>
                <w:rFonts w:eastAsia="標楷體"/>
                <w:sz w:val="28"/>
                <w:szCs w:val="28"/>
              </w:rPr>
            </w:pPr>
            <w:r w:rsidRPr="00605476">
              <w:rPr>
                <w:rFonts w:eastAsia="標楷體" w:hAnsi="標楷體" w:hint="eastAsia"/>
                <w:sz w:val="28"/>
                <w:szCs w:val="28"/>
              </w:rPr>
              <w:t>評審項目</w:t>
            </w:r>
          </w:p>
        </w:tc>
        <w:tc>
          <w:tcPr>
            <w:tcW w:w="5103" w:type="dxa"/>
            <w:shd w:val="clear" w:color="auto" w:fill="E6E6E6"/>
          </w:tcPr>
          <w:p w:rsidR="000F0589" w:rsidRPr="00605476" w:rsidRDefault="000F0589" w:rsidP="00450DC0">
            <w:pPr>
              <w:snapToGrid w:val="0"/>
              <w:jc w:val="center"/>
              <w:rPr>
                <w:rFonts w:eastAsia="標楷體"/>
                <w:sz w:val="28"/>
                <w:szCs w:val="28"/>
              </w:rPr>
            </w:pPr>
            <w:proofErr w:type="gramStart"/>
            <w:r w:rsidRPr="00605476">
              <w:rPr>
                <w:rFonts w:eastAsia="標楷體" w:hAnsi="標楷體" w:hint="eastAsia"/>
                <w:sz w:val="28"/>
                <w:szCs w:val="28"/>
              </w:rPr>
              <w:t>評審子項</w:t>
            </w:r>
            <w:proofErr w:type="gramEnd"/>
          </w:p>
        </w:tc>
        <w:tc>
          <w:tcPr>
            <w:tcW w:w="1071" w:type="dxa"/>
            <w:shd w:val="clear" w:color="auto" w:fill="E6E6E6"/>
          </w:tcPr>
          <w:p w:rsidR="000F0589" w:rsidRPr="00605476" w:rsidRDefault="000F0589" w:rsidP="002A1633">
            <w:pPr>
              <w:spacing w:before="120" w:line="0" w:lineRule="atLeast"/>
              <w:jc w:val="center"/>
              <w:rPr>
                <w:rFonts w:eastAsia="標楷體"/>
                <w:sz w:val="28"/>
                <w:szCs w:val="28"/>
              </w:rPr>
            </w:pPr>
            <w:r w:rsidRPr="00605476">
              <w:rPr>
                <w:rFonts w:eastAsia="標楷體" w:hint="eastAsia"/>
                <w:sz w:val="28"/>
                <w:szCs w:val="28"/>
              </w:rPr>
              <w:t>配分</w:t>
            </w:r>
          </w:p>
        </w:tc>
      </w:tr>
      <w:tr w:rsidR="00605476" w:rsidRPr="00605476" w:rsidTr="00DA6A07">
        <w:trPr>
          <w:trHeight w:val="662"/>
        </w:trPr>
        <w:tc>
          <w:tcPr>
            <w:tcW w:w="2106" w:type="dxa"/>
            <w:vMerge w:val="restart"/>
            <w:vAlign w:val="center"/>
          </w:tcPr>
          <w:p w:rsidR="00DA6A07" w:rsidRPr="00605476" w:rsidRDefault="00DA6A07" w:rsidP="00DA6A07">
            <w:pPr>
              <w:pStyle w:val="a8"/>
              <w:tabs>
                <w:tab w:val="num" w:pos="1546"/>
              </w:tabs>
              <w:autoSpaceDE w:val="0"/>
              <w:autoSpaceDN w:val="0"/>
              <w:snapToGrid w:val="0"/>
              <w:spacing w:before="0" w:after="0" w:line="240" w:lineRule="auto"/>
              <w:ind w:left="390" w:hangingChars="150" w:hanging="390"/>
              <w:jc w:val="both"/>
              <w:textAlignment w:val="bottom"/>
              <w:rPr>
                <w:rFonts w:ascii="標楷體" w:eastAsia="標楷體" w:hAnsi="標楷體"/>
                <w:sz w:val="24"/>
                <w:szCs w:val="24"/>
                <w:shd w:val="pct15" w:color="auto" w:fill="FFFFFF"/>
              </w:rPr>
            </w:pPr>
            <w:r w:rsidRPr="00605476">
              <w:rPr>
                <w:rFonts w:ascii="標楷體" w:eastAsia="標楷體" w:hAnsi="標楷體" w:hint="eastAsia"/>
                <w:sz w:val="24"/>
                <w:szCs w:val="24"/>
              </w:rPr>
              <w:t>0</w:t>
            </w:r>
            <w:r w:rsidRPr="00605476">
              <w:rPr>
                <w:rFonts w:ascii="標楷體" w:eastAsia="標楷體" w:hAnsi="標楷體"/>
                <w:sz w:val="24"/>
                <w:szCs w:val="24"/>
              </w:rPr>
              <w:t>1.</w:t>
            </w:r>
            <w:r w:rsidRPr="00605476">
              <w:rPr>
                <w:rFonts w:ascii="標楷體" w:eastAsia="標楷體" w:hAnsi="標楷體" w:hint="eastAsia"/>
                <w:sz w:val="24"/>
                <w:szCs w:val="24"/>
              </w:rPr>
              <w:t>團隊專業能力及經驗</w:t>
            </w:r>
          </w:p>
        </w:tc>
        <w:tc>
          <w:tcPr>
            <w:tcW w:w="5103" w:type="dxa"/>
            <w:shd w:val="clear" w:color="auto" w:fill="E6E6E6"/>
            <w:vAlign w:val="center"/>
          </w:tcPr>
          <w:p w:rsidR="00DA6A07" w:rsidRPr="00605476" w:rsidRDefault="00DA6A07" w:rsidP="00DA6A07">
            <w:pPr>
              <w:pStyle w:val="Default"/>
              <w:numPr>
                <w:ilvl w:val="0"/>
                <w:numId w:val="2"/>
              </w:numPr>
              <w:snapToGrid w:val="0"/>
              <w:ind w:left="323" w:hanging="323"/>
              <w:jc w:val="both"/>
              <w:rPr>
                <w:rFonts w:hAnsi="標楷體"/>
                <w:color w:val="auto"/>
                <w:sz w:val="28"/>
                <w:szCs w:val="28"/>
              </w:rPr>
            </w:pPr>
            <w:r w:rsidRPr="00605476">
              <w:rPr>
                <w:rFonts w:hAnsi="標楷體" w:hint="eastAsia"/>
                <w:color w:val="auto"/>
              </w:rPr>
              <w:t>主辦計畫主持人及主要工作人員與本採購案服務項目有關之經驗及能力。</w:t>
            </w:r>
          </w:p>
        </w:tc>
        <w:tc>
          <w:tcPr>
            <w:tcW w:w="1071" w:type="dxa"/>
            <w:shd w:val="clear" w:color="auto" w:fill="E6E6E6"/>
            <w:vAlign w:val="center"/>
          </w:tcPr>
          <w:p w:rsidR="00DA6A07" w:rsidRPr="00605476" w:rsidRDefault="00DA6A07" w:rsidP="00DA6A07">
            <w:pPr>
              <w:snapToGrid w:val="0"/>
              <w:jc w:val="center"/>
              <w:rPr>
                <w:rFonts w:eastAsia="標楷體"/>
                <w:sz w:val="28"/>
                <w:szCs w:val="28"/>
              </w:rPr>
            </w:pPr>
            <w:r w:rsidRPr="00605476">
              <w:rPr>
                <w:rFonts w:eastAsia="標楷體" w:hint="eastAsia"/>
                <w:sz w:val="28"/>
                <w:szCs w:val="28"/>
              </w:rPr>
              <w:t>1</w:t>
            </w:r>
            <w:r w:rsidRPr="00605476">
              <w:rPr>
                <w:rFonts w:eastAsia="標楷體"/>
                <w:sz w:val="28"/>
                <w:szCs w:val="28"/>
              </w:rPr>
              <w:t>0</w:t>
            </w:r>
            <w:r w:rsidRPr="00605476">
              <w:rPr>
                <w:rFonts w:eastAsia="標楷體" w:hint="eastAsia"/>
                <w:sz w:val="28"/>
                <w:szCs w:val="28"/>
              </w:rPr>
              <w:t>分</w:t>
            </w:r>
          </w:p>
        </w:tc>
      </w:tr>
      <w:tr w:rsidR="00605476" w:rsidRPr="00605476" w:rsidTr="00DA6A07">
        <w:trPr>
          <w:trHeight w:val="662"/>
        </w:trPr>
        <w:tc>
          <w:tcPr>
            <w:tcW w:w="2106" w:type="dxa"/>
            <w:vMerge/>
            <w:vAlign w:val="center"/>
          </w:tcPr>
          <w:p w:rsidR="00DA6A07" w:rsidRPr="00605476" w:rsidRDefault="00DA6A07" w:rsidP="00DA6A07">
            <w:pPr>
              <w:snapToGrid w:val="0"/>
              <w:jc w:val="both"/>
              <w:rPr>
                <w:rFonts w:ascii="標楷體" w:eastAsia="標楷體" w:hAnsi="標楷體"/>
                <w:szCs w:val="24"/>
              </w:rPr>
            </w:pPr>
          </w:p>
        </w:tc>
        <w:tc>
          <w:tcPr>
            <w:tcW w:w="5103" w:type="dxa"/>
            <w:shd w:val="clear" w:color="auto" w:fill="E6E6E6"/>
            <w:vAlign w:val="center"/>
          </w:tcPr>
          <w:p w:rsidR="00DA6A07" w:rsidRPr="00605476" w:rsidRDefault="00DA6A07" w:rsidP="00DA6A07">
            <w:pPr>
              <w:pStyle w:val="Default"/>
              <w:numPr>
                <w:ilvl w:val="0"/>
                <w:numId w:val="2"/>
              </w:numPr>
              <w:snapToGrid w:val="0"/>
              <w:ind w:left="323" w:hanging="323"/>
              <w:jc w:val="both"/>
              <w:rPr>
                <w:rFonts w:hAnsi="標楷體"/>
                <w:color w:val="auto"/>
                <w:sz w:val="28"/>
                <w:szCs w:val="28"/>
              </w:rPr>
            </w:pPr>
            <w:r w:rsidRPr="00605476">
              <w:rPr>
                <w:rFonts w:hAnsi="標楷體" w:hint="eastAsia"/>
                <w:color w:val="auto"/>
              </w:rPr>
              <w:t>於截止投標日前國內外及公私部門實績。</w:t>
            </w:r>
          </w:p>
        </w:tc>
        <w:tc>
          <w:tcPr>
            <w:tcW w:w="1071" w:type="dxa"/>
            <w:shd w:val="clear" w:color="auto" w:fill="E6E6E6"/>
            <w:vAlign w:val="center"/>
          </w:tcPr>
          <w:p w:rsidR="00DA6A07" w:rsidRPr="00605476" w:rsidRDefault="00F44500" w:rsidP="00DA6A07">
            <w:pPr>
              <w:snapToGrid w:val="0"/>
              <w:jc w:val="center"/>
              <w:rPr>
                <w:rFonts w:eastAsia="標楷體"/>
                <w:sz w:val="28"/>
                <w:szCs w:val="28"/>
              </w:rPr>
            </w:pPr>
            <w:r>
              <w:rPr>
                <w:rFonts w:eastAsia="標楷體"/>
                <w:sz w:val="28"/>
                <w:szCs w:val="28"/>
              </w:rPr>
              <w:t>5</w:t>
            </w:r>
            <w:r w:rsidR="00DA6A07" w:rsidRPr="00605476">
              <w:rPr>
                <w:rFonts w:eastAsia="標楷體" w:hint="eastAsia"/>
                <w:sz w:val="28"/>
                <w:szCs w:val="28"/>
              </w:rPr>
              <w:t>分</w:t>
            </w:r>
          </w:p>
        </w:tc>
      </w:tr>
      <w:tr w:rsidR="00605476" w:rsidRPr="00605476" w:rsidTr="00DA6A07">
        <w:trPr>
          <w:trHeight w:val="662"/>
        </w:trPr>
        <w:tc>
          <w:tcPr>
            <w:tcW w:w="2106" w:type="dxa"/>
            <w:vMerge w:val="restart"/>
            <w:vAlign w:val="center"/>
          </w:tcPr>
          <w:p w:rsidR="00DA6A07" w:rsidRPr="00605476" w:rsidRDefault="00DA6A07" w:rsidP="00DA6A07">
            <w:pPr>
              <w:pStyle w:val="a8"/>
              <w:tabs>
                <w:tab w:val="num" w:pos="1546"/>
              </w:tabs>
              <w:autoSpaceDE w:val="0"/>
              <w:autoSpaceDN w:val="0"/>
              <w:snapToGrid w:val="0"/>
              <w:spacing w:before="0" w:after="0" w:line="240" w:lineRule="auto"/>
              <w:ind w:left="390" w:hangingChars="150" w:hanging="390"/>
              <w:jc w:val="both"/>
              <w:textAlignment w:val="bottom"/>
              <w:rPr>
                <w:rFonts w:ascii="標楷體" w:eastAsia="標楷體" w:hAnsi="標楷體"/>
                <w:sz w:val="24"/>
                <w:szCs w:val="24"/>
              </w:rPr>
            </w:pPr>
            <w:r w:rsidRPr="00605476">
              <w:rPr>
                <w:rFonts w:ascii="標楷體" w:eastAsia="標楷體" w:hAnsi="標楷體" w:hint="eastAsia"/>
                <w:sz w:val="24"/>
                <w:szCs w:val="24"/>
              </w:rPr>
              <w:t>0</w:t>
            </w:r>
            <w:r w:rsidRPr="00605476">
              <w:rPr>
                <w:rFonts w:ascii="標楷體" w:eastAsia="標楷體" w:hAnsi="標楷體"/>
                <w:sz w:val="24"/>
                <w:szCs w:val="24"/>
              </w:rPr>
              <w:t>2.</w:t>
            </w:r>
            <w:r w:rsidRPr="00605476">
              <w:rPr>
                <w:rFonts w:ascii="標楷體" w:eastAsia="標楷體" w:hAnsi="標楷體" w:hint="eastAsia"/>
                <w:sz w:val="24"/>
                <w:szCs w:val="24"/>
              </w:rPr>
              <w:t>服務建議書及工作計畫內容</w:t>
            </w:r>
          </w:p>
        </w:tc>
        <w:tc>
          <w:tcPr>
            <w:tcW w:w="5103" w:type="dxa"/>
            <w:shd w:val="clear" w:color="auto" w:fill="E6E6E6"/>
            <w:vAlign w:val="center"/>
          </w:tcPr>
          <w:p w:rsidR="00DA6A07" w:rsidRPr="00605476" w:rsidRDefault="00F44500" w:rsidP="00DA6A07">
            <w:pPr>
              <w:pStyle w:val="a9"/>
              <w:numPr>
                <w:ilvl w:val="0"/>
                <w:numId w:val="4"/>
              </w:numPr>
              <w:snapToGrid w:val="0"/>
              <w:ind w:leftChars="0" w:left="324" w:hangingChars="135" w:hanging="324"/>
              <w:jc w:val="both"/>
              <w:rPr>
                <w:rFonts w:ascii="標楷體" w:eastAsia="標楷體" w:hAnsi="標楷體"/>
                <w:sz w:val="28"/>
                <w:szCs w:val="28"/>
              </w:rPr>
            </w:pPr>
            <w:r w:rsidRPr="00F44500">
              <w:rPr>
                <w:rFonts w:ascii="標楷體" w:eastAsia="標楷體" w:hAnsi="標楷體" w:hint="eastAsia"/>
              </w:rPr>
              <w:t>執行方式及內容(提出預定搭乘航班行程表、交通安排)</w:t>
            </w:r>
          </w:p>
        </w:tc>
        <w:tc>
          <w:tcPr>
            <w:tcW w:w="1071" w:type="dxa"/>
            <w:shd w:val="clear" w:color="auto" w:fill="E6E6E6"/>
            <w:vAlign w:val="center"/>
          </w:tcPr>
          <w:p w:rsidR="00DA6A07" w:rsidRPr="00605476" w:rsidRDefault="00F44500" w:rsidP="00DA6A07">
            <w:pPr>
              <w:snapToGrid w:val="0"/>
              <w:jc w:val="center"/>
              <w:rPr>
                <w:rFonts w:eastAsia="標楷體"/>
                <w:sz w:val="28"/>
                <w:szCs w:val="28"/>
              </w:rPr>
            </w:pPr>
            <w:r>
              <w:rPr>
                <w:rFonts w:eastAsia="標楷體"/>
                <w:sz w:val="28"/>
                <w:szCs w:val="28"/>
              </w:rPr>
              <w:t>20</w:t>
            </w:r>
            <w:r w:rsidR="00DA6A07" w:rsidRPr="00605476">
              <w:rPr>
                <w:rFonts w:eastAsia="標楷體" w:hint="eastAsia"/>
                <w:sz w:val="28"/>
                <w:szCs w:val="28"/>
              </w:rPr>
              <w:t>分</w:t>
            </w:r>
          </w:p>
        </w:tc>
      </w:tr>
      <w:tr w:rsidR="00605476" w:rsidRPr="00605476" w:rsidTr="00DA6A07">
        <w:trPr>
          <w:trHeight w:val="662"/>
        </w:trPr>
        <w:tc>
          <w:tcPr>
            <w:tcW w:w="2106" w:type="dxa"/>
            <w:vMerge/>
            <w:vAlign w:val="center"/>
          </w:tcPr>
          <w:p w:rsidR="00DA6A07" w:rsidRPr="00605476" w:rsidRDefault="00DA6A07" w:rsidP="00DA6A07">
            <w:pPr>
              <w:snapToGrid w:val="0"/>
              <w:jc w:val="both"/>
              <w:rPr>
                <w:rFonts w:ascii="標楷體" w:eastAsia="標楷體" w:hAnsi="標楷體"/>
                <w:szCs w:val="24"/>
              </w:rPr>
            </w:pPr>
          </w:p>
        </w:tc>
        <w:tc>
          <w:tcPr>
            <w:tcW w:w="5103" w:type="dxa"/>
            <w:shd w:val="clear" w:color="auto" w:fill="E6E6E6"/>
            <w:vAlign w:val="center"/>
          </w:tcPr>
          <w:p w:rsidR="00DA6A07" w:rsidRPr="00605476" w:rsidRDefault="00DA6A07" w:rsidP="00DA6A07">
            <w:pPr>
              <w:pStyle w:val="a9"/>
              <w:numPr>
                <w:ilvl w:val="0"/>
                <w:numId w:val="4"/>
              </w:numPr>
              <w:snapToGrid w:val="0"/>
              <w:ind w:leftChars="0" w:left="324" w:hangingChars="135" w:hanging="324"/>
              <w:jc w:val="both"/>
              <w:rPr>
                <w:rFonts w:ascii="標楷體" w:eastAsia="標楷體" w:hAnsi="標楷體"/>
                <w:sz w:val="28"/>
                <w:szCs w:val="28"/>
              </w:rPr>
            </w:pPr>
            <w:r w:rsidRPr="00605476">
              <w:rPr>
                <w:rFonts w:ascii="標楷體" w:eastAsia="標楷體" w:hAnsi="標楷體" w:hint="eastAsia"/>
              </w:rPr>
              <w:t>專案管理實施計畫、預定進度及如期如質履約能力。</w:t>
            </w:r>
          </w:p>
        </w:tc>
        <w:tc>
          <w:tcPr>
            <w:tcW w:w="1071" w:type="dxa"/>
            <w:shd w:val="clear" w:color="auto" w:fill="E6E6E6"/>
            <w:vAlign w:val="center"/>
          </w:tcPr>
          <w:p w:rsidR="00DA6A07" w:rsidRPr="00605476" w:rsidRDefault="00DA6A07" w:rsidP="00DA6A07">
            <w:pPr>
              <w:snapToGrid w:val="0"/>
              <w:jc w:val="center"/>
              <w:rPr>
                <w:rFonts w:eastAsia="標楷體"/>
                <w:sz w:val="28"/>
                <w:szCs w:val="28"/>
              </w:rPr>
            </w:pPr>
            <w:r w:rsidRPr="00605476">
              <w:rPr>
                <w:rFonts w:eastAsia="標楷體" w:hint="eastAsia"/>
                <w:sz w:val="28"/>
                <w:szCs w:val="28"/>
              </w:rPr>
              <w:t>1</w:t>
            </w:r>
            <w:r w:rsidRPr="00605476">
              <w:rPr>
                <w:rFonts w:eastAsia="標楷體"/>
                <w:sz w:val="28"/>
                <w:szCs w:val="28"/>
              </w:rPr>
              <w:t>0</w:t>
            </w:r>
            <w:r w:rsidRPr="00605476">
              <w:rPr>
                <w:rFonts w:eastAsia="標楷體" w:hint="eastAsia"/>
                <w:sz w:val="28"/>
                <w:szCs w:val="28"/>
              </w:rPr>
              <w:t>分</w:t>
            </w:r>
          </w:p>
        </w:tc>
      </w:tr>
      <w:tr w:rsidR="00F44500" w:rsidRPr="00605476" w:rsidTr="00DA6A07">
        <w:trPr>
          <w:trHeight w:val="662"/>
        </w:trPr>
        <w:tc>
          <w:tcPr>
            <w:tcW w:w="2106" w:type="dxa"/>
            <w:vMerge w:val="restart"/>
            <w:vAlign w:val="center"/>
          </w:tcPr>
          <w:p w:rsidR="00F44500" w:rsidRPr="00605476" w:rsidRDefault="00F44500" w:rsidP="00DA6A07">
            <w:pPr>
              <w:snapToGrid w:val="0"/>
              <w:jc w:val="both"/>
              <w:rPr>
                <w:rFonts w:ascii="標楷體" w:eastAsia="標楷體" w:hAnsi="標楷體"/>
                <w:szCs w:val="24"/>
              </w:rPr>
            </w:pPr>
            <w:r w:rsidRPr="00605476">
              <w:rPr>
                <w:rFonts w:ascii="標楷體" w:eastAsia="標楷體" w:hAnsi="標楷體" w:hint="eastAsia"/>
                <w:szCs w:val="24"/>
              </w:rPr>
              <w:t>0</w:t>
            </w:r>
            <w:r w:rsidRPr="00605476">
              <w:rPr>
                <w:rFonts w:ascii="標楷體" w:eastAsia="標楷體" w:hAnsi="標楷體"/>
                <w:szCs w:val="24"/>
              </w:rPr>
              <w:t>3.</w:t>
            </w:r>
            <w:r w:rsidRPr="00605476">
              <w:rPr>
                <w:rFonts w:ascii="標楷體" w:eastAsia="標楷體" w:hAnsi="標楷體" w:hint="eastAsia"/>
                <w:szCs w:val="24"/>
              </w:rPr>
              <w:t>執行能力</w:t>
            </w:r>
          </w:p>
        </w:tc>
        <w:tc>
          <w:tcPr>
            <w:tcW w:w="5103" w:type="dxa"/>
            <w:shd w:val="clear" w:color="auto" w:fill="E6E6E6"/>
            <w:vAlign w:val="center"/>
          </w:tcPr>
          <w:p w:rsidR="00F44500" w:rsidRPr="00605476" w:rsidRDefault="00F44500" w:rsidP="00DA6A07">
            <w:pPr>
              <w:pStyle w:val="a9"/>
              <w:numPr>
                <w:ilvl w:val="0"/>
                <w:numId w:val="6"/>
              </w:numPr>
              <w:snapToGrid w:val="0"/>
              <w:ind w:leftChars="0" w:left="288" w:hangingChars="120" w:hanging="288"/>
              <w:jc w:val="both"/>
              <w:rPr>
                <w:rFonts w:ascii="標楷體" w:eastAsia="標楷體" w:hAnsi="標楷體"/>
              </w:rPr>
            </w:pPr>
            <w:r w:rsidRPr="00605476">
              <w:rPr>
                <w:rFonts w:ascii="標楷體" w:eastAsia="標楷體" w:hAnsi="標楷體" w:hint="eastAsia"/>
              </w:rPr>
              <w:t>計畫進度監督管控能力之說明。</w:t>
            </w:r>
          </w:p>
        </w:tc>
        <w:tc>
          <w:tcPr>
            <w:tcW w:w="1071" w:type="dxa"/>
            <w:shd w:val="clear" w:color="auto" w:fill="E6E6E6"/>
            <w:vAlign w:val="center"/>
          </w:tcPr>
          <w:p w:rsidR="00F44500" w:rsidRPr="00605476" w:rsidRDefault="00F44500" w:rsidP="00DA6A07">
            <w:pPr>
              <w:snapToGrid w:val="0"/>
              <w:jc w:val="center"/>
            </w:pPr>
            <w:r w:rsidRPr="00605476">
              <w:rPr>
                <w:rFonts w:eastAsia="標楷體" w:hint="eastAsia"/>
                <w:sz w:val="28"/>
                <w:szCs w:val="28"/>
              </w:rPr>
              <w:t>1</w:t>
            </w:r>
            <w:r w:rsidRPr="00605476">
              <w:rPr>
                <w:rFonts w:eastAsia="標楷體"/>
                <w:sz w:val="28"/>
                <w:szCs w:val="28"/>
              </w:rPr>
              <w:t>0</w:t>
            </w:r>
            <w:r w:rsidRPr="00605476">
              <w:rPr>
                <w:rFonts w:eastAsia="標楷體" w:hint="eastAsia"/>
                <w:sz w:val="28"/>
                <w:szCs w:val="28"/>
              </w:rPr>
              <w:t>分</w:t>
            </w:r>
          </w:p>
        </w:tc>
      </w:tr>
      <w:tr w:rsidR="00F44500" w:rsidRPr="00605476" w:rsidTr="00DA6A07">
        <w:trPr>
          <w:trHeight w:val="662"/>
        </w:trPr>
        <w:tc>
          <w:tcPr>
            <w:tcW w:w="2106" w:type="dxa"/>
            <w:vMerge/>
            <w:vAlign w:val="center"/>
          </w:tcPr>
          <w:p w:rsidR="00F44500" w:rsidRPr="00605476" w:rsidRDefault="00F44500" w:rsidP="00DA6A07">
            <w:pPr>
              <w:snapToGrid w:val="0"/>
              <w:jc w:val="both"/>
              <w:rPr>
                <w:rFonts w:ascii="標楷體" w:eastAsia="標楷體" w:hAnsi="標楷體"/>
                <w:szCs w:val="24"/>
              </w:rPr>
            </w:pPr>
          </w:p>
        </w:tc>
        <w:tc>
          <w:tcPr>
            <w:tcW w:w="5103" w:type="dxa"/>
            <w:shd w:val="clear" w:color="auto" w:fill="E6E6E6"/>
            <w:vAlign w:val="center"/>
          </w:tcPr>
          <w:p w:rsidR="00F44500" w:rsidRPr="00605476" w:rsidRDefault="00F44500" w:rsidP="00DA6A07">
            <w:pPr>
              <w:pStyle w:val="a9"/>
              <w:numPr>
                <w:ilvl w:val="0"/>
                <w:numId w:val="6"/>
              </w:numPr>
              <w:snapToGrid w:val="0"/>
              <w:ind w:leftChars="0" w:left="288" w:hangingChars="120" w:hanging="288"/>
              <w:jc w:val="both"/>
              <w:rPr>
                <w:rFonts w:ascii="標楷體" w:eastAsia="標楷體" w:hAnsi="標楷體"/>
              </w:rPr>
            </w:pPr>
            <w:r w:rsidRPr="00605476">
              <w:rPr>
                <w:rFonts w:ascii="標楷體" w:eastAsia="標楷體" w:hAnsi="標楷體" w:hint="eastAsia"/>
              </w:rPr>
              <w:t>有關計畫風險管理及緊急應變能力之說明。</w:t>
            </w:r>
          </w:p>
        </w:tc>
        <w:tc>
          <w:tcPr>
            <w:tcW w:w="1071" w:type="dxa"/>
            <w:shd w:val="clear" w:color="auto" w:fill="E6E6E6"/>
            <w:vAlign w:val="center"/>
          </w:tcPr>
          <w:p w:rsidR="00F44500" w:rsidRPr="00605476" w:rsidRDefault="00F44500" w:rsidP="00DA6A07">
            <w:pPr>
              <w:snapToGrid w:val="0"/>
              <w:jc w:val="center"/>
            </w:pPr>
            <w:r w:rsidRPr="00605476">
              <w:rPr>
                <w:rFonts w:eastAsia="標楷體" w:hint="eastAsia"/>
                <w:sz w:val="28"/>
                <w:szCs w:val="28"/>
              </w:rPr>
              <w:t>1</w:t>
            </w:r>
            <w:r w:rsidRPr="00605476">
              <w:rPr>
                <w:rFonts w:eastAsia="標楷體"/>
                <w:sz w:val="28"/>
                <w:szCs w:val="28"/>
              </w:rPr>
              <w:t>0</w:t>
            </w:r>
            <w:r w:rsidRPr="00605476">
              <w:rPr>
                <w:rFonts w:eastAsia="標楷體" w:hint="eastAsia"/>
                <w:sz w:val="28"/>
                <w:szCs w:val="28"/>
              </w:rPr>
              <w:t>分</w:t>
            </w:r>
          </w:p>
        </w:tc>
      </w:tr>
      <w:tr w:rsidR="00605476" w:rsidRPr="00605476" w:rsidTr="00DA6A07">
        <w:trPr>
          <w:trHeight w:val="662"/>
        </w:trPr>
        <w:tc>
          <w:tcPr>
            <w:tcW w:w="2106" w:type="dxa"/>
            <w:vAlign w:val="center"/>
          </w:tcPr>
          <w:p w:rsidR="00DA6A07" w:rsidRPr="00605476" w:rsidRDefault="00DA6A07" w:rsidP="00DA6A07">
            <w:pPr>
              <w:snapToGrid w:val="0"/>
              <w:jc w:val="both"/>
              <w:rPr>
                <w:rFonts w:ascii="標楷體" w:eastAsia="標楷體" w:hAnsi="標楷體"/>
                <w:szCs w:val="24"/>
              </w:rPr>
            </w:pPr>
            <w:r w:rsidRPr="00605476">
              <w:rPr>
                <w:rFonts w:ascii="標楷體" w:eastAsia="標楷體" w:hAnsi="標楷體" w:hint="eastAsia"/>
                <w:szCs w:val="24"/>
              </w:rPr>
              <w:lastRenderedPageBreak/>
              <w:t>0</w:t>
            </w:r>
            <w:r w:rsidRPr="00605476">
              <w:rPr>
                <w:rFonts w:ascii="標楷體" w:eastAsia="標楷體" w:hAnsi="標楷體"/>
                <w:szCs w:val="24"/>
              </w:rPr>
              <w:t>4.</w:t>
            </w:r>
            <w:r w:rsidRPr="00605476">
              <w:rPr>
                <w:rFonts w:ascii="標楷體" w:eastAsia="標楷體" w:hAnsi="標楷體" w:hint="eastAsia"/>
                <w:szCs w:val="24"/>
              </w:rPr>
              <w:t>價格合理性</w:t>
            </w:r>
          </w:p>
        </w:tc>
        <w:tc>
          <w:tcPr>
            <w:tcW w:w="5103" w:type="dxa"/>
            <w:shd w:val="clear" w:color="auto" w:fill="E6E6E6"/>
            <w:vAlign w:val="center"/>
          </w:tcPr>
          <w:p w:rsidR="00DA6A07" w:rsidRPr="00605476" w:rsidRDefault="00DA6A07" w:rsidP="00DA6A07">
            <w:pPr>
              <w:pStyle w:val="a9"/>
              <w:numPr>
                <w:ilvl w:val="0"/>
                <w:numId w:val="7"/>
              </w:numPr>
              <w:snapToGrid w:val="0"/>
              <w:ind w:leftChars="0" w:left="320" w:hanging="320"/>
              <w:jc w:val="both"/>
              <w:rPr>
                <w:rFonts w:ascii="標楷體" w:eastAsia="標楷體" w:hAnsi="標楷體"/>
              </w:rPr>
            </w:pPr>
            <w:r w:rsidRPr="00605476">
              <w:rPr>
                <w:rFonts w:ascii="標楷體" w:eastAsia="標楷體" w:hAnsi="標楷體" w:hint="eastAsia"/>
              </w:rPr>
              <w:t>價格明細組成及總標價合理性</w:t>
            </w:r>
          </w:p>
        </w:tc>
        <w:tc>
          <w:tcPr>
            <w:tcW w:w="1071" w:type="dxa"/>
            <w:shd w:val="clear" w:color="auto" w:fill="E6E6E6"/>
            <w:vAlign w:val="center"/>
          </w:tcPr>
          <w:p w:rsidR="00DA6A07" w:rsidRPr="00605476" w:rsidRDefault="00DA6A07" w:rsidP="00DA6A07">
            <w:pPr>
              <w:snapToGrid w:val="0"/>
              <w:jc w:val="center"/>
              <w:rPr>
                <w:rFonts w:eastAsia="標楷體"/>
                <w:sz w:val="28"/>
                <w:szCs w:val="28"/>
              </w:rPr>
            </w:pPr>
            <w:r w:rsidRPr="00605476">
              <w:rPr>
                <w:rFonts w:eastAsia="標楷體"/>
                <w:sz w:val="28"/>
                <w:szCs w:val="28"/>
              </w:rPr>
              <w:t>25</w:t>
            </w:r>
            <w:r w:rsidRPr="00605476">
              <w:rPr>
                <w:rFonts w:eastAsia="標楷體" w:hint="eastAsia"/>
                <w:sz w:val="28"/>
                <w:szCs w:val="28"/>
              </w:rPr>
              <w:t>分</w:t>
            </w:r>
          </w:p>
        </w:tc>
      </w:tr>
      <w:tr w:rsidR="00605476" w:rsidRPr="00605476" w:rsidTr="00DA6A07">
        <w:trPr>
          <w:trHeight w:val="663"/>
        </w:trPr>
        <w:tc>
          <w:tcPr>
            <w:tcW w:w="2106" w:type="dxa"/>
            <w:vAlign w:val="center"/>
          </w:tcPr>
          <w:p w:rsidR="00DA6A07" w:rsidRPr="00605476" w:rsidRDefault="00DA6A07" w:rsidP="00DA6A07">
            <w:pPr>
              <w:pStyle w:val="a8"/>
              <w:tabs>
                <w:tab w:val="num" w:pos="1546"/>
              </w:tabs>
              <w:autoSpaceDE w:val="0"/>
              <w:autoSpaceDN w:val="0"/>
              <w:snapToGrid w:val="0"/>
              <w:spacing w:before="0" w:after="0" w:line="240" w:lineRule="auto"/>
              <w:ind w:left="0" w:firstLine="0"/>
              <w:jc w:val="both"/>
              <w:textAlignment w:val="bottom"/>
              <w:rPr>
                <w:rFonts w:ascii="標楷體" w:eastAsia="標楷體" w:hAnsi="標楷體"/>
                <w:sz w:val="24"/>
                <w:szCs w:val="24"/>
              </w:rPr>
            </w:pPr>
            <w:r w:rsidRPr="00605476">
              <w:rPr>
                <w:rFonts w:ascii="標楷體" w:eastAsia="標楷體" w:hAnsi="標楷體" w:hint="eastAsia"/>
                <w:sz w:val="24"/>
                <w:szCs w:val="24"/>
              </w:rPr>
              <w:t>0</w:t>
            </w:r>
            <w:r w:rsidRPr="00605476">
              <w:rPr>
                <w:rFonts w:ascii="標楷體" w:eastAsia="標楷體" w:hAnsi="標楷體"/>
                <w:sz w:val="24"/>
                <w:szCs w:val="24"/>
              </w:rPr>
              <w:t>5.</w:t>
            </w:r>
            <w:r w:rsidRPr="00605476">
              <w:rPr>
                <w:rFonts w:ascii="標楷體" w:eastAsia="標楷體" w:hAnsi="標楷體" w:hint="eastAsia"/>
                <w:sz w:val="24"/>
                <w:szCs w:val="24"/>
              </w:rPr>
              <w:t>簡報與答</w:t>
            </w:r>
            <w:proofErr w:type="gramStart"/>
            <w:r w:rsidRPr="00605476">
              <w:rPr>
                <w:rFonts w:ascii="標楷體" w:eastAsia="標楷體" w:hAnsi="標楷體" w:hint="eastAsia"/>
                <w:sz w:val="24"/>
                <w:szCs w:val="24"/>
              </w:rPr>
              <w:t>詢</w:t>
            </w:r>
            <w:proofErr w:type="gramEnd"/>
          </w:p>
        </w:tc>
        <w:tc>
          <w:tcPr>
            <w:tcW w:w="5103" w:type="dxa"/>
            <w:shd w:val="clear" w:color="auto" w:fill="E6E6E6"/>
            <w:vAlign w:val="center"/>
          </w:tcPr>
          <w:p w:rsidR="00DA6A07" w:rsidRPr="00605476" w:rsidRDefault="00DA6A07" w:rsidP="00DA6A07">
            <w:pPr>
              <w:pStyle w:val="a9"/>
              <w:numPr>
                <w:ilvl w:val="0"/>
                <w:numId w:val="7"/>
              </w:numPr>
              <w:snapToGrid w:val="0"/>
              <w:ind w:leftChars="0" w:left="288" w:hangingChars="120" w:hanging="288"/>
              <w:jc w:val="both"/>
              <w:rPr>
                <w:rFonts w:ascii="標楷體" w:eastAsia="標楷體" w:hAnsi="標楷體"/>
                <w:sz w:val="28"/>
                <w:szCs w:val="28"/>
              </w:rPr>
            </w:pPr>
            <w:r w:rsidRPr="00605476">
              <w:rPr>
                <w:rFonts w:ascii="標楷體" w:eastAsia="標楷體" w:hAnsi="標楷體" w:hint="eastAsia"/>
              </w:rPr>
              <w:t>簡報與答</w:t>
            </w:r>
            <w:proofErr w:type="gramStart"/>
            <w:r w:rsidRPr="00605476">
              <w:rPr>
                <w:rFonts w:ascii="標楷體" w:eastAsia="標楷體" w:hAnsi="標楷體" w:hint="eastAsia"/>
              </w:rPr>
              <w:t>詢</w:t>
            </w:r>
            <w:proofErr w:type="gramEnd"/>
            <w:r w:rsidRPr="00605476">
              <w:rPr>
                <w:rFonts w:ascii="標楷體" w:eastAsia="標楷體" w:hAnsi="標楷體" w:hint="eastAsia"/>
              </w:rPr>
              <w:t>回應內容。</w:t>
            </w:r>
          </w:p>
        </w:tc>
        <w:tc>
          <w:tcPr>
            <w:tcW w:w="1071" w:type="dxa"/>
            <w:shd w:val="clear" w:color="auto" w:fill="E6E6E6"/>
            <w:vAlign w:val="center"/>
          </w:tcPr>
          <w:p w:rsidR="00DA6A07" w:rsidRPr="00605476" w:rsidRDefault="00F44500" w:rsidP="00DA6A07">
            <w:pPr>
              <w:snapToGrid w:val="0"/>
              <w:jc w:val="center"/>
              <w:rPr>
                <w:rFonts w:eastAsia="標楷體"/>
                <w:sz w:val="28"/>
                <w:szCs w:val="28"/>
              </w:rPr>
            </w:pPr>
            <w:r>
              <w:rPr>
                <w:rFonts w:eastAsia="標楷體"/>
                <w:sz w:val="28"/>
                <w:szCs w:val="28"/>
              </w:rPr>
              <w:t>10</w:t>
            </w:r>
            <w:r w:rsidR="00DA6A07" w:rsidRPr="00605476">
              <w:rPr>
                <w:rFonts w:eastAsia="標楷體" w:hint="eastAsia"/>
                <w:sz w:val="28"/>
                <w:szCs w:val="28"/>
              </w:rPr>
              <w:t>分</w:t>
            </w:r>
          </w:p>
        </w:tc>
      </w:tr>
    </w:tbl>
    <w:p w:rsidR="000F0589" w:rsidRPr="00605476" w:rsidRDefault="000F0589" w:rsidP="000F0589">
      <w:pPr>
        <w:numPr>
          <w:ilvl w:val="0"/>
          <w:numId w:val="1"/>
        </w:numPr>
        <w:adjustRightInd/>
        <w:spacing w:line="440" w:lineRule="exact"/>
        <w:textAlignment w:val="auto"/>
        <w:rPr>
          <w:rFonts w:ascii="標楷體" w:eastAsia="標楷體" w:hAnsi="標楷體"/>
          <w:sz w:val="28"/>
        </w:rPr>
      </w:pPr>
      <w:r w:rsidRPr="00605476">
        <w:rPr>
          <w:rFonts w:ascii="標楷體" w:eastAsia="標楷體" w:hAnsi="標楷體" w:hint="eastAsia"/>
          <w:sz w:val="28"/>
        </w:rPr>
        <w:t>廠商評審方式：</w:t>
      </w:r>
    </w:p>
    <w:p w:rsidR="000F0589" w:rsidRPr="00605476" w:rsidRDefault="000F0589" w:rsidP="000F0589">
      <w:pPr>
        <w:tabs>
          <w:tab w:val="left" w:pos="6360"/>
          <w:tab w:val="left" w:pos="7740"/>
        </w:tabs>
        <w:snapToGrid w:val="0"/>
        <w:spacing w:line="440" w:lineRule="exact"/>
        <w:ind w:left="680" w:right="68"/>
        <w:jc w:val="both"/>
        <w:rPr>
          <w:rFonts w:ascii="標楷體" w:eastAsia="標楷體" w:hAnsi="標楷體"/>
          <w:sz w:val="28"/>
        </w:rPr>
      </w:pPr>
      <w:r w:rsidRPr="00605476">
        <w:rPr>
          <w:rFonts w:ascii="標楷體" w:eastAsia="標楷體" w:hAnsi="標楷體" w:hint="eastAsia"/>
          <w:sz w:val="28"/>
        </w:rPr>
        <w:t>□總評分法</w:t>
      </w:r>
    </w:p>
    <w:p w:rsidR="000F0589" w:rsidRPr="00605476" w:rsidRDefault="000F0589" w:rsidP="000F0589">
      <w:pPr>
        <w:tabs>
          <w:tab w:val="left" w:pos="6360"/>
          <w:tab w:val="left" w:pos="7740"/>
        </w:tabs>
        <w:snapToGrid w:val="0"/>
        <w:spacing w:line="440" w:lineRule="exact"/>
        <w:ind w:leftChars="407" w:left="1789" w:rightChars="28" w:right="67" w:hangingChars="290" w:hanging="812"/>
        <w:jc w:val="both"/>
        <w:rPr>
          <w:rFonts w:ascii="標楷體" w:eastAsia="標楷體" w:hAnsi="標楷體"/>
          <w:sz w:val="28"/>
        </w:rPr>
      </w:pPr>
      <w:r w:rsidRPr="00605476">
        <w:rPr>
          <w:rFonts w:ascii="標楷體" w:eastAsia="標楷體" w:hAnsi="標楷體" w:hint="eastAsia"/>
          <w:sz w:val="28"/>
        </w:rPr>
        <w:t>（一）由工作小組提出初審意見，評審委員就初審意見、廠商資料、評審項目逐項討論後，各評審委員依評審項目，填寫評分表之個別廠商各項目</w:t>
      </w:r>
      <w:proofErr w:type="gramStart"/>
      <w:r w:rsidRPr="00605476">
        <w:rPr>
          <w:rFonts w:ascii="標楷體" w:eastAsia="標楷體" w:hAnsi="標楷體" w:hint="eastAsia"/>
          <w:sz w:val="28"/>
        </w:rPr>
        <w:t>及子項評分</w:t>
      </w:r>
      <w:proofErr w:type="gramEnd"/>
      <w:r w:rsidRPr="00605476">
        <w:rPr>
          <w:rFonts w:ascii="標楷體" w:eastAsia="標楷體" w:hAnsi="標楷體" w:hint="eastAsia"/>
          <w:sz w:val="28"/>
        </w:rPr>
        <w:t>，交由本機關作業人員計算個別廠商之平均總評分（計算至小數點以下二位數，小數點以下第三位四捨五入），</w:t>
      </w:r>
      <w:r w:rsidR="00F44500">
        <w:rPr>
          <w:rFonts w:ascii="標楷體" w:eastAsia="標楷體" w:hAnsi="標楷體" w:hint="eastAsia"/>
          <w:sz w:val="28"/>
        </w:rPr>
        <w:t>未達75分</w:t>
      </w:r>
      <w:r w:rsidRPr="00605476">
        <w:rPr>
          <w:rFonts w:ascii="標楷體" w:eastAsia="標楷體" w:hAnsi="標楷體" w:hint="eastAsia"/>
          <w:sz w:val="28"/>
        </w:rPr>
        <w:t>者不得列為協商及議價對象。若所有廠商平均總評</w:t>
      </w:r>
      <w:proofErr w:type="gramStart"/>
      <w:r w:rsidRPr="00605476">
        <w:rPr>
          <w:rFonts w:ascii="標楷體" w:eastAsia="標楷體" w:hAnsi="標楷體" w:hint="eastAsia"/>
          <w:sz w:val="28"/>
        </w:rPr>
        <w:t>分均</w:t>
      </w:r>
      <w:r w:rsidR="00F44500">
        <w:rPr>
          <w:rFonts w:ascii="標楷體" w:eastAsia="標楷體" w:hAnsi="標楷體" w:hint="eastAsia"/>
          <w:sz w:val="28"/>
        </w:rPr>
        <w:t>未達</w:t>
      </w:r>
      <w:proofErr w:type="gramEnd"/>
      <w:r w:rsidR="00F44500">
        <w:rPr>
          <w:rFonts w:ascii="標楷體" w:eastAsia="標楷體" w:hAnsi="標楷體" w:hint="eastAsia"/>
          <w:sz w:val="28"/>
        </w:rPr>
        <w:t>75分</w:t>
      </w:r>
      <w:r w:rsidRPr="00605476">
        <w:rPr>
          <w:rFonts w:ascii="標楷體" w:eastAsia="標楷體" w:hAnsi="標楷體" w:hint="eastAsia"/>
          <w:sz w:val="28"/>
        </w:rPr>
        <w:t>時，則符合需要廠商</w:t>
      </w:r>
      <w:proofErr w:type="gramStart"/>
      <w:r w:rsidRPr="00605476">
        <w:rPr>
          <w:rFonts w:ascii="標楷體" w:eastAsia="標楷體" w:hAnsi="標楷體" w:hint="eastAsia"/>
          <w:sz w:val="28"/>
        </w:rPr>
        <w:t>從缺並廢</w:t>
      </w:r>
      <w:proofErr w:type="gramEnd"/>
      <w:r w:rsidRPr="00605476">
        <w:rPr>
          <w:rFonts w:ascii="標楷體" w:eastAsia="標楷體" w:hAnsi="標楷體" w:hint="eastAsia"/>
          <w:sz w:val="28"/>
        </w:rPr>
        <w:t>標。</w:t>
      </w:r>
    </w:p>
    <w:p w:rsidR="000F0589" w:rsidRPr="00605476" w:rsidRDefault="000F0589" w:rsidP="000F0589">
      <w:pPr>
        <w:tabs>
          <w:tab w:val="left" w:pos="6360"/>
          <w:tab w:val="left" w:pos="7740"/>
        </w:tabs>
        <w:snapToGrid w:val="0"/>
        <w:spacing w:line="440" w:lineRule="exact"/>
        <w:ind w:leftChars="407" w:left="1789" w:rightChars="28" w:right="67" w:hangingChars="290" w:hanging="812"/>
        <w:jc w:val="both"/>
        <w:rPr>
          <w:rFonts w:ascii="標楷體" w:eastAsia="標楷體" w:hAnsi="標楷體"/>
          <w:sz w:val="28"/>
        </w:rPr>
      </w:pPr>
      <w:r w:rsidRPr="00605476">
        <w:rPr>
          <w:rFonts w:ascii="標楷體" w:eastAsia="標楷體" w:hAnsi="標楷體" w:hint="eastAsia"/>
          <w:sz w:val="28"/>
        </w:rPr>
        <w:t>（二）平均總評分</w:t>
      </w:r>
      <w:r w:rsidR="00F44500">
        <w:rPr>
          <w:rFonts w:ascii="標楷體" w:eastAsia="標楷體" w:hAnsi="標楷體" w:hint="eastAsia"/>
          <w:sz w:val="28"/>
        </w:rPr>
        <w:t>在75分</w:t>
      </w:r>
      <w:r w:rsidRPr="00605476">
        <w:rPr>
          <w:rFonts w:ascii="標楷體" w:eastAsia="標楷體" w:hAnsi="標楷體" w:hint="eastAsia"/>
          <w:sz w:val="28"/>
        </w:rPr>
        <w:t>以上之最高分廠商為第1名，如無待協商項目，且經出席評審委員過半數之決定者為符合需要廠商。平均總評分</w:t>
      </w:r>
      <w:r w:rsidR="00F44500">
        <w:rPr>
          <w:rFonts w:ascii="標楷體" w:eastAsia="標楷體" w:hAnsi="標楷體" w:hint="eastAsia"/>
          <w:sz w:val="28"/>
        </w:rPr>
        <w:t>在75分</w:t>
      </w:r>
      <w:r w:rsidRPr="00605476">
        <w:rPr>
          <w:rFonts w:ascii="標楷體" w:eastAsia="標楷體" w:hAnsi="標楷體" w:hint="eastAsia"/>
          <w:sz w:val="28"/>
        </w:rPr>
        <w:t>以上之第2名以後廠商，如無待協商項目，且經出席評審委員過半數之決定者，亦得列為符合需要廠商。</w:t>
      </w:r>
    </w:p>
    <w:p w:rsidR="000F0589" w:rsidRPr="00605476" w:rsidRDefault="000F0589" w:rsidP="000F0589">
      <w:pPr>
        <w:tabs>
          <w:tab w:val="left" w:pos="6360"/>
          <w:tab w:val="left" w:pos="7740"/>
        </w:tabs>
        <w:snapToGrid w:val="0"/>
        <w:spacing w:line="440" w:lineRule="exact"/>
        <w:ind w:leftChars="407" w:left="1789" w:rightChars="28" w:right="67" w:hangingChars="290" w:hanging="812"/>
        <w:jc w:val="both"/>
        <w:rPr>
          <w:rFonts w:ascii="標楷體" w:eastAsia="標楷體" w:hAnsi="標楷體"/>
          <w:sz w:val="28"/>
        </w:rPr>
      </w:pPr>
      <w:r w:rsidRPr="00605476">
        <w:rPr>
          <w:rFonts w:ascii="標楷體" w:eastAsia="標楷體" w:hAnsi="標楷體" w:hint="eastAsia"/>
          <w:sz w:val="28"/>
        </w:rPr>
        <w:t>（三）符合需要廠商為1家者，以議價方式辦理；符合需要廠商在2家以上者，以依序議價方式辦理。如有2家（含）以上符合需要廠商總評分相同者，其議價順序為：</w:t>
      </w:r>
    </w:p>
    <w:p w:rsidR="000F0589" w:rsidRPr="00605476" w:rsidRDefault="000F0589" w:rsidP="000F0589">
      <w:pPr>
        <w:tabs>
          <w:tab w:val="left" w:pos="6360"/>
          <w:tab w:val="left" w:pos="7740"/>
        </w:tabs>
        <w:snapToGrid w:val="0"/>
        <w:spacing w:line="440" w:lineRule="exact"/>
        <w:ind w:leftChars="774" w:left="2141" w:rightChars="28" w:right="67" w:hangingChars="101" w:hanging="283"/>
        <w:jc w:val="both"/>
        <w:rPr>
          <w:rFonts w:ascii="標楷體" w:eastAsia="標楷體" w:hAnsi="標楷體"/>
          <w:sz w:val="28"/>
        </w:rPr>
      </w:pPr>
      <w:r w:rsidRPr="00605476">
        <w:rPr>
          <w:rFonts w:ascii="標楷體" w:eastAsia="標楷體" w:hAnsi="標楷體" w:hint="eastAsia"/>
          <w:sz w:val="28"/>
        </w:rPr>
        <w:t>1.招標文件未訂明固定服務費用或費率者，以標價低者優先議價。該等廠商報價仍相同者，參考「最有利標評選辦法」第14條規定，由機關擇一為之，或於招標文件預先擇</w:t>
      </w:r>
      <w:proofErr w:type="gramStart"/>
      <w:r w:rsidRPr="00605476">
        <w:rPr>
          <w:rFonts w:ascii="標楷體" w:eastAsia="標楷體" w:hAnsi="標楷體" w:hint="eastAsia"/>
          <w:sz w:val="28"/>
        </w:rPr>
        <w:t>一</w:t>
      </w:r>
      <w:proofErr w:type="gramEnd"/>
      <w:r w:rsidRPr="00605476">
        <w:rPr>
          <w:rFonts w:ascii="標楷體" w:eastAsia="標楷體" w:hAnsi="標楷體" w:hint="eastAsia"/>
          <w:sz w:val="28"/>
        </w:rPr>
        <w:t>：</w:t>
      </w:r>
    </w:p>
    <w:p w:rsidR="000F0589" w:rsidRPr="00605476" w:rsidRDefault="000F0589" w:rsidP="000F0589">
      <w:pPr>
        <w:tabs>
          <w:tab w:val="left" w:pos="6360"/>
          <w:tab w:val="left" w:pos="7740"/>
        </w:tabs>
        <w:snapToGrid w:val="0"/>
        <w:spacing w:line="440" w:lineRule="exact"/>
        <w:ind w:leftChars="975" w:left="2774" w:rightChars="28" w:right="67" w:hangingChars="155" w:hanging="434"/>
        <w:jc w:val="both"/>
        <w:rPr>
          <w:rFonts w:ascii="標楷體" w:eastAsia="標楷體" w:hAnsi="標楷體"/>
          <w:sz w:val="28"/>
        </w:rPr>
      </w:pPr>
      <w:r w:rsidRPr="00605476">
        <w:rPr>
          <w:rFonts w:ascii="標楷體" w:eastAsia="標楷體" w:hAnsi="標楷體" w:hint="eastAsia"/>
          <w:sz w:val="28"/>
        </w:rPr>
        <w:t>(1)對總評分相同廠商再行綜合評審一次，以總評分最高者優先議價。綜合評審後之總評分或商數仍相同者，抽籤決定之。</w:t>
      </w:r>
    </w:p>
    <w:p w:rsidR="000F0589" w:rsidRPr="00605476" w:rsidRDefault="000F0589" w:rsidP="000F0589">
      <w:pPr>
        <w:tabs>
          <w:tab w:val="left" w:pos="6360"/>
          <w:tab w:val="left" w:pos="7740"/>
        </w:tabs>
        <w:snapToGrid w:val="0"/>
        <w:spacing w:line="440" w:lineRule="exact"/>
        <w:ind w:leftChars="975" w:left="2774" w:rightChars="28" w:right="67" w:hangingChars="155" w:hanging="434"/>
        <w:jc w:val="both"/>
        <w:rPr>
          <w:rFonts w:ascii="標楷體" w:eastAsia="標楷體" w:hAnsi="標楷體"/>
          <w:sz w:val="28"/>
        </w:rPr>
      </w:pPr>
      <w:r w:rsidRPr="00605476">
        <w:rPr>
          <w:rFonts w:ascii="標楷體" w:eastAsia="標楷體" w:hAnsi="標楷體" w:hint="eastAsia"/>
          <w:sz w:val="28"/>
        </w:rPr>
        <w:t>(2)</w:t>
      </w:r>
      <w:proofErr w:type="gramStart"/>
      <w:r w:rsidRPr="00605476">
        <w:rPr>
          <w:rFonts w:ascii="標楷體" w:eastAsia="標楷體" w:hAnsi="標楷體" w:hint="eastAsia"/>
          <w:sz w:val="28"/>
        </w:rPr>
        <w:t>擇配分</w:t>
      </w:r>
      <w:proofErr w:type="gramEnd"/>
      <w:r w:rsidRPr="00605476">
        <w:rPr>
          <w:rFonts w:ascii="標楷體" w:eastAsia="標楷體" w:hAnsi="標楷體" w:hint="eastAsia"/>
          <w:sz w:val="28"/>
        </w:rPr>
        <w:t>最高之評審項目之得分較高者優先議價。得分仍相同者，抽籤決定之。</w:t>
      </w:r>
    </w:p>
    <w:p w:rsidR="000F0589" w:rsidRPr="00605476" w:rsidRDefault="000F0589" w:rsidP="000F0589">
      <w:pPr>
        <w:tabs>
          <w:tab w:val="left" w:pos="6360"/>
          <w:tab w:val="left" w:pos="7740"/>
        </w:tabs>
        <w:snapToGrid w:val="0"/>
        <w:spacing w:line="440" w:lineRule="exact"/>
        <w:ind w:leftChars="774" w:left="2141" w:rightChars="28" w:right="67" w:hangingChars="101" w:hanging="283"/>
        <w:jc w:val="both"/>
        <w:rPr>
          <w:rFonts w:ascii="標楷體" w:eastAsia="標楷體" w:hAnsi="標楷體"/>
          <w:sz w:val="28"/>
        </w:rPr>
      </w:pPr>
      <w:r w:rsidRPr="00605476">
        <w:rPr>
          <w:rFonts w:ascii="標楷體" w:eastAsia="標楷體" w:hAnsi="標楷體" w:hint="eastAsia"/>
          <w:sz w:val="28"/>
        </w:rPr>
        <w:t>2.招標文件已訂明固定服務費用或費率者，參考「最有利標評選辦法」第14條規定，由機關擇一為之，或於招標文件預先擇</w:t>
      </w:r>
      <w:proofErr w:type="gramStart"/>
      <w:r w:rsidRPr="00605476">
        <w:rPr>
          <w:rFonts w:ascii="標楷體" w:eastAsia="標楷體" w:hAnsi="標楷體" w:hint="eastAsia"/>
          <w:sz w:val="28"/>
        </w:rPr>
        <w:t>一</w:t>
      </w:r>
      <w:proofErr w:type="gramEnd"/>
      <w:r w:rsidRPr="00605476">
        <w:rPr>
          <w:rFonts w:ascii="標楷體" w:eastAsia="標楷體" w:hAnsi="標楷體" w:hint="eastAsia"/>
          <w:sz w:val="28"/>
        </w:rPr>
        <w:t>：</w:t>
      </w:r>
    </w:p>
    <w:p w:rsidR="000F0589" w:rsidRPr="00605476" w:rsidRDefault="000F0589" w:rsidP="000F0589">
      <w:pPr>
        <w:tabs>
          <w:tab w:val="left" w:pos="6360"/>
          <w:tab w:val="left" w:pos="7740"/>
        </w:tabs>
        <w:snapToGrid w:val="0"/>
        <w:spacing w:line="440" w:lineRule="exact"/>
        <w:ind w:leftChars="975" w:left="2774" w:rightChars="28" w:right="67" w:hangingChars="155" w:hanging="434"/>
        <w:jc w:val="both"/>
        <w:rPr>
          <w:rFonts w:ascii="標楷體" w:eastAsia="標楷體" w:hAnsi="標楷體"/>
          <w:sz w:val="28"/>
        </w:rPr>
      </w:pPr>
      <w:r w:rsidRPr="00605476">
        <w:rPr>
          <w:rFonts w:ascii="標楷體" w:eastAsia="標楷體" w:hAnsi="標楷體" w:hint="eastAsia"/>
          <w:sz w:val="28"/>
        </w:rPr>
        <w:t>(1)對總評分相同廠商再行綜合評審一次，以總評分最高者優先議價。綜合評審後之總評分或商數仍相同者，抽籤決</w:t>
      </w:r>
      <w:r w:rsidRPr="00605476">
        <w:rPr>
          <w:rFonts w:ascii="標楷體" w:eastAsia="標楷體" w:hAnsi="標楷體" w:hint="eastAsia"/>
          <w:sz w:val="28"/>
        </w:rPr>
        <w:lastRenderedPageBreak/>
        <w:t>定之。</w:t>
      </w:r>
    </w:p>
    <w:p w:rsidR="000F0589" w:rsidRPr="00605476" w:rsidRDefault="000F0589" w:rsidP="000F0589">
      <w:pPr>
        <w:tabs>
          <w:tab w:val="left" w:pos="6360"/>
          <w:tab w:val="left" w:pos="7740"/>
        </w:tabs>
        <w:snapToGrid w:val="0"/>
        <w:spacing w:line="440" w:lineRule="exact"/>
        <w:ind w:leftChars="975" w:left="2774" w:rightChars="28" w:right="67" w:hangingChars="155" w:hanging="434"/>
        <w:jc w:val="both"/>
        <w:rPr>
          <w:rFonts w:ascii="標楷體" w:eastAsia="標楷體" w:hAnsi="標楷體"/>
          <w:sz w:val="28"/>
        </w:rPr>
      </w:pPr>
      <w:r w:rsidRPr="00605476">
        <w:rPr>
          <w:rFonts w:ascii="標楷體" w:eastAsia="標楷體" w:hAnsi="標楷體" w:hint="eastAsia"/>
          <w:sz w:val="28"/>
        </w:rPr>
        <w:t>(2)</w:t>
      </w:r>
      <w:proofErr w:type="gramStart"/>
      <w:r w:rsidRPr="00605476">
        <w:rPr>
          <w:rFonts w:ascii="標楷體" w:eastAsia="標楷體" w:hAnsi="標楷體" w:hint="eastAsia"/>
          <w:sz w:val="28"/>
        </w:rPr>
        <w:t>擇配分</w:t>
      </w:r>
      <w:proofErr w:type="gramEnd"/>
      <w:r w:rsidRPr="00605476">
        <w:rPr>
          <w:rFonts w:ascii="標楷體" w:eastAsia="標楷體" w:hAnsi="標楷體" w:hint="eastAsia"/>
          <w:sz w:val="28"/>
        </w:rPr>
        <w:t>最高之評審項目之得分較高者優先議價。得分仍相同者，抽籤決定之。</w:t>
      </w:r>
    </w:p>
    <w:p w:rsidR="000F0589" w:rsidRPr="00605476" w:rsidRDefault="000F0589" w:rsidP="000F0589">
      <w:pPr>
        <w:tabs>
          <w:tab w:val="left" w:pos="6360"/>
          <w:tab w:val="left" w:pos="7740"/>
        </w:tabs>
        <w:snapToGrid w:val="0"/>
        <w:spacing w:line="440" w:lineRule="exact"/>
        <w:ind w:leftChars="407" w:left="1789" w:rightChars="28" w:right="67" w:hangingChars="290" w:hanging="812"/>
        <w:jc w:val="both"/>
        <w:rPr>
          <w:rFonts w:ascii="標楷體" w:eastAsia="標楷體" w:hAnsi="標楷體"/>
          <w:sz w:val="28"/>
        </w:rPr>
      </w:pPr>
      <w:r w:rsidRPr="00605476">
        <w:rPr>
          <w:rFonts w:ascii="標楷體" w:eastAsia="標楷體" w:hAnsi="標楷體" w:hint="eastAsia"/>
          <w:sz w:val="28"/>
        </w:rPr>
        <w:t>（四）評審委員評審評分表及評審</w:t>
      </w:r>
      <w:proofErr w:type="gramStart"/>
      <w:r w:rsidRPr="00605476">
        <w:rPr>
          <w:rFonts w:ascii="標楷體" w:eastAsia="標楷體" w:hAnsi="標楷體" w:hint="eastAsia"/>
          <w:sz w:val="28"/>
        </w:rPr>
        <w:t>總表如附件</w:t>
      </w:r>
      <w:proofErr w:type="gramEnd"/>
      <w:r w:rsidRPr="00605476">
        <w:rPr>
          <w:rFonts w:ascii="標楷體" w:eastAsia="標楷體" w:hAnsi="標楷體" w:hint="eastAsia"/>
          <w:sz w:val="28"/>
        </w:rPr>
        <w:t>。</w:t>
      </w:r>
    </w:p>
    <w:p w:rsidR="000F0589" w:rsidRPr="00605476" w:rsidRDefault="00DA6A07" w:rsidP="000F0589">
      <w:pPr>
        <w:tabs>
          <w:tab w:val="left" w:pos="6360"/>
          <w:tab w:val="left" w:pos="7740"/>
        </w:tabs>
        <w:snapToGrid w:val="0"/>
        <w:spacing w:line="440" w:lineRule="exact"/>
        <w:ind w:left="680" w:right="68"/>
        <w:jc w:val="both"/>
        <w:rPr>
          <w:rFonts w:ascii="標楷體" w:eastAsia="標楷體" w:hAnsi="標楷體"/>
          <w:sz w:val="28"/>
        </w:rPr>
      </w:pPr>
      <w:r w:rsidRPr="00605476">
        <w:rPr>
          <w:rFonts w:ascii="標楷體" w:eastAsia="標楷體" w:hAnsi="標楷體" w:hint="eastAsia"/>
          <w:sz w:val="28"/>
        </w:rPr>
        <w:t>■</w:t>
      </w:r>
      <w:r w:rsidR="000F0589" w:rsidRPr="00605476">
        <w:rPr>
          <w:rFonts w:ascii="標楷體" w:eastAsia="標楷體" w:hAnsi="標楷體" w:hint="eastAsia"/>
          <w:sz w:val="28"/>
        </w:rPr>
        <w:t>序位法</w:t>
      </w:r>
    </w:p>
    <w:p w:rsidR="000F0589" w:rsidRPr="00605476" w:rsidRDefault="000F0589" w:rsidP="000F0589">
      <w:pPr>
        <w:tabs>
          <w:tab w:val="left" w:pos="6360"/>
          <w:tab w:val="left" w:pos="7740"/>
        </w:tabs>
        <w:snapToGrid w:val="0"/>
        <w:spacing w:line="440" w:lineRule="exact"/>
        <w:ind w:leftChars="407" w:left="1789" w:rightChars="28" w:right="67" w:hangingChars="290" w:hanging="812"/>
        <w:jc w:val="both"/>
        <w:rPr>
          <w:rFonts w:ascii="標楷體" w:eastAsia="標楷體" w:hAnsi="標楷體"/>
          <w:sz w:val="28"/>
        </w:rPr>
      </w:pPr>
      <w:r w:rsidRPr="00605476">
        <w:rPr>
          <w:rFonts w:ascii="標楷體" w:eastAsia="標楷體" w:hAnsi="標楷體" w:hint="eastAsia"/>
          <w:sz w:val="28"/>
        </w:rPr>
        <w:t>（一）由工作小組提出初審意見，評審委員就初審意見、廠商資料、評審項目逐項討論後，由各評審委員</w:t>
      </w:r>
      <w:proofErr w:type="gramStart"/>
      <w:r w:rsidRPr="00605476">
        <w:rPr>
          <w:rFonts w:ascii="標楷體" w:eastAsia="標楷體" w:hAnsi="標楷體" w:hint="eastAsia"/>
          <w:sz w:val="28"/>
        </w:rPr>
        <w:t>辦理序</w:t>
      </w:r>
      <w:proofErr w:type="gramEnd"/>
      <w:r w:rsidRPr="00605476">
        <w:rPr>
          <w:rFonts w:ascii="標楷體" w:eastAsia="標楷體" w:hAnsi="標楷體" w:hint="eastAsia"/>
          <w:sz w:val="28"/>
        </w:rPr>
        <w:t>位評比，就個別廠商各評審項目</w:t>
      </w:r>
      <w:proofErr w:type="gramStart"/>
      <w:r w:rsidRPr="00605476">
        <w:rPr>
          <w:rFonts w:ascii="標楷體" w:eastAsia="標楷體" w:hAnsi="標楷體" w:hint="eastAsia"/>
          <w:sz w:val="28"/>
        </w:rPr>
        <w:t>及子項分</w:t>
      </w:r>
      <w:proofErr w:type="gramEnd"/>
      <w:r w:rsidRPr="00605476">
        <w:rPr>
          <w:rFonts w:ascii="標楷體" w:eastAsia="標楷體" w:hAnsi="標楷體" w:hint="eastAsia"/>
          <w:sz w:val="28"/>
        </w:rPr>
        <w:t>別評分後予以加總，並依加總分數高低</w:t>
      </w:r>
      <w:proofErr w:type="gramStart"/>
      <w:r w:rsidRPr="00605476">
        <w:rPr>
          <w:rFonts w:ascii="標楷體" w:eastAsia="標楷體" w:hAnsi="標楷體" w:hint="eastAsia"/>
          <w:sz w:val="28"/>
        </w:rPr>
        <w:t>轉換為序</w:t>
      </w:r>
      <w:proofErr w:type="gramEnd"/>
      <w:r w:rsidRPr="00605476">
        <w:rPr>
          <w:rFonts w:ascii="標楷體" w:eastAsia="標楷體" w:hAnsi="標楷體" w:hint="eastAsia"/>
          <w:sz w:val="28"/>
        </w:rPr>
        <w:t>位。個別廠商之平均總評分（計算至小數點以下二位數，小數點以下第三位四捨五入），</w:t>
      </w:r>
      <w:r w:rsidR="00F44500">
        <w:rPr>
          <w:rFonts w:ascii="標楷體" w:eastAsia="標楷體" w:hAnsi="標楷體" w:hint="eastAsia"/>
          <w:sz w:val="28"/>
        </w:rPr>
        <w:t>未達75分</w:t>
      </w:r>
      <w:r w:rsidRPr="00605476">
        <w:rPr>
          <w:rFonts w:ascii="標楷體" w:eastAsia="標楷體" w:hAnsi="標楷體" w:hint="eastAsia"/>
          <w:sz w:val="28"/>
        </w:rPr>
        <w:t>者不得列為協商及議價對象。若所有廠商平均總評</w:t>
      </w:r>
      <w:proofErr w:type="gramStart"/>
      <w:r w:rsidRPr="00605476">
        <w:rPr>
          <w:rFonts w:ascii="標楷體" w:eastAsia="標楷體" w:hAnsi="標楷體" w:hint="eastAsia"/>
          <w:sz w:val="28"/>
        </w:rPr>
        <w:t>分均</w:t>
      </w:r>
      <w:r w:rsidR="00F44500">
        <w:rPr>
          <w:rFonts w:ascii="標楷體" w:eastAsia="標楷體" w:hAnsi="標楷體" w:hint="eastAsia"/>
          <w:sz w:val="28"/>
        </w:rPr>
        <w:t>未達</w:t>
      </w:r>
      <w:proofErr w:type="gramEnd"/>
      <w:r w:rsidR="00F44500">
        <w:rPr>
          <w:rFonts w:ascii="標楷體" w:eastAsia="標楷體" w:hAnsi="標楷體" w:hint="eastAsia"/>
          <w:sz w:val="28"/>
        </w:rPr>
        <w:t>75分</w:t>
      </w:r>
      <w:r w:rsidRPr="00605476">
        <w:rPr>
          <w:rFonts w:ascii="標楷體" w:eastAsia="標楷體" w:hAnsi="標楷體" w:hint="eastAsia"/>
          <w:sz w:val="28"/>
        </w:rPr>
        <w:t>時，則符合需要廠商</w:t>
      </w:r>
      <w:proofErr w:type="gramStart"/>
      <w:r w:rsidRPr="00605476">
        <w:rPr>
          <w:rFonts w:ascii="標楷體" w:eastAsia="標楷體" w:hAnsi="標楷體" w:hint="eastAsia"/>
          <w:sz w:val="28"/>
        </w:rPr>
        <w:t>從缺並廢</w:t>
      </w:r>
      <w:proofErr w:type="gramEnd"/>
      <w:r w:rsidRPr="00605476">
        <w:rPr>
          <w:rFonts w:ascii="標楷體" w:eastAsia="標楷體" w:hAnsi="標楷體" w:hint="eastAsia"/>
          <w:sz w:val="28"/>
        </w:rPr>
        <w:t>標。</w:t>
      </w:r>
    </w:p>
    <w:p w:rsidR="000F0589" w:rsidRPr="00605476" w:rsidRDefault="000F0589" w:rsidP="000F0589">
      <w:pPr>
        <w:tabs>
          <w:tab w:val="left" w:pos="6360"/>
          <w:tab w:val="left" w:pos="7740"/>
        </w:tabs>
        <w:snapToGrid w:val="0"/>
        <w:spacing w:line="440" w:lineRule="exact"/>
        <w:ind w:leftChars="407" w:left="1789" w:rightChars="28" w:right="67" w:hangingChars="290" w:hanging="812"/>
        <w:jc w:val="both"/>
        <w:rPr>
          <w:rFonts w:ascii="標楷體" w:eastAsia="標楷體" w:hAnsi="標楷體"/>
          <w:sz w:val="28"/>
        </w:rPr>
      </w:pPr>
      <w:r w:rsidRPr="00605476">
        <w:rPr>
          <w:rFonts w:ascii="標楷體" w:eastAsia="標楷體" w:hAnsi="標楷體" w:hint="eastAsia"/>
          <w:sz w:val="28"/>
        </w:rPr>
        <w:t>（二）評審委員於各評審項目</w:t>
      </w:r>
      <w:proofErr w:type="gramStart"/>
      <w:r w:rsidRPr="00605476">
        <w:rPr>
          <w:rFonts w:ascii="標楷體" w:eastAsia="標楷體" w:hAnsi="標楷體" w:hint="eastAsia"/>
          <w:sz w:val="28"/>
        </w:rPr>
        <w:t>及子項之</w:t>
      </w:r>
      <w:proofErr w:type="gramEnd"/>
      <w:r w:rsidRPr="00605476">
        <w:rPr>
          <w:rFonts w:ascii="標楷體" w:eastAsia="標楷體" w:hAnsi="標楷體" w:hint="eastAsia"/>
          <w:sz w:val="28"/>
        </w:rPr>
        <w:t>評分加總</w:t>
      </w:r>
      <w:proofErr w:type="gramStart"/>
      <w:r w:rsidRPr="00605476">
        <w:rPr>
          <w:rFonts w:ascii="標楷體" w:eastAsia="標楷體" w:hAnsi="標楷體" w:hint="eastAsia"/>
          <w:sz w:val="28"/>
        </w:rPr>
        <w:t>轉換為序</w:t>
      </w:r>
      <w:proofErr w:type="gramEnd"/>
      <w:r w:rsidRPr="00605476">
        <w:rPr>
          <w:rFonts w:ascii="標楷體" w:eastAsia="標楷體" w:hAnsi="標楷體" w:hint="eastAsia"/>
          <w:sz w:val="28"/>
        </w:rPr>
        <w:t>位後，彙整合計各</w:t>
      </w:r>
      <w:proofErr w:type="gramStart"/>
      <w:r w:rsidRPr="00605476">
        <w:rPr>
          <w:rFonts w:ascii="標楷體" w:eastAsia="標楷體" w:hAnsi="標楷體" w:hint="eastAsia"/>
          <w:sz w:val="28"/>
        </w:rPr>
        <w:t>廠商之序</w:t>
      </w:r>
      <w:proofErr w:type="gramEnd"/>
      <w:r w:rsidRPr="00605476">
        <w:rPr>
          <w:rFonts w:ascii="標楷體" w:eastAsia="標楷體" w:hAnsi="標楷體" w:hint="eastAsia"/>
          <w:sz w:val="28"/>
        </w:rPr>
        <w:t>位，以平均總評分</w:t>
      </w:r>
      <w:r w:rsidR="00F44500">
        <w:rPr>
          <w:rFonts w:ascii="標楷體" w:eastAsia="標楷體" w:hAnsi="標楷體" w:hint="eastAsia"/>
          <w:sz w:val="28"/>
        </w:rPr>
        <w:t>在75分</w:t>
      </w:r>
      <w:proofErr w:type="gramStart"/>
      <w:r w:rsidRPr="00605476">
        <w:rPr>
          <w:rFonts w:ascii="標楷體" w:eastAsia="標楷體" w:hAnsi="標楷體" w:hint="eastAsia"/>
          <w:sz w:val="28"/>
        </w:rPr>
        <w:t>以上之序</w:t>
      </w:r>
      <w:proofErr w:type="gramEnd"/>
      <w:r w:rsidRPr="00605476">
        <w:rPr>
          <w:rFonts w:ascii="標楷體" w:eastAsia="標楷體" w:hAnsi="標楷體" w:hint="eastAsia"/>
          <w:sz w:val="28"/>
        </w:rPr>
        <w:t>位合計值最低廠商為第1名，如無待協商項目，且經出席評審委員過半數之決定者為符合需要廠商。平均總評分</w:t>
      </w:r>
      <w:r w:rsidR="00F44500">
        <w:rPr>
          <w:rFonts w:ascii="標楷體" w:eastAsia="標楷體" w:hAnsi="標楷體" w:hint="eastAsia"/>
          <w:sz w:val="28"/>
        </w:rPr>
        <w:t>在75分</w:t>
      </w:r>
      <w:r w:rsidRPr="00605476">
        <w:rPr>
          <w:rFonts w:ascii="標楷體" w:eastAsia="標楷體" w:hAnsi="標楷體" w:hint="eastAsia"/>
          <w:sz w:val="28"/>
        </w:rPr>
        <w:t>以上之第2名以後廠商，如無待協商項目，且經出席評審委員過半數之決定者，亦得列為符合需要廠商。</w:t>
      </w:r>
    </w:p>
    <w:p w:rsidR="000F0589" w:rsidRPr="00605476" w:rsidRDefault="000F0589" w:rsidP="000F0589">
      <w:pPr>
        <w:tabs>
          <w:tab w:val="left" w:pos="6360"/>
          <w:tab w:val="left" w:pos="7740"/>
        </w:tabs>
        <w:snapToGrid w:val="0"/>
        <w:spacing w:line="440" w:lineRule="exact"/>
        <w:ind w:leftChars="407" w:left="1789" w:rightChars="28" w:right="67" w:hangingChars="290" w:hanging="812"/>
        <w:jc w:val="both"/>
        <w:rPr>
          <w:rFonts w:ascii="標楷體" w:eastAsia="標楷體" w:hAnsi="標楷體"/>
          <w:sz w:val="28"/>
        </w:rPr>
      </w:pPr>
      <w:r w:rsidRPr="00605476">
        <w:rPr>
          <w:rFonts w:ascii="標楷體" w:eastAsia="標楷體" w:hAnsi="標楷體" w:hint="eastAsia"/>
          <w:sz w:val="28"/>
        </w:rPr>
        <w:t>（三）符合需要廠商為1家者，以議價方式辦理；符合需要廠商在2家以上者，以依序議價方式辦理。如有2家（含）以上符合需要廠商序位合計值相同者，其議價順序為：</w:t>
      </w:r>
    </w:p>
    <w:p w:rsidR="000F0589" w:rsidRPr="00605476" w:rsidRDefault="000F0589" w:rsidP="000F0589">
      <w:pPr>
        <w:tabs>
          <w:tab w:val="left" w:pos="6360"/>
          <w:tab w:val="left" w:pos="7740"/>
        </w:tabs>
        <w:snapToGrid w:val="0"/>
        <w:spacing w:line="440" w:lineRule="exact"/>
        <w:ind w:leftChars="774" w:left="2141" w:rightChars="28" w:right="67" w:hangingChars="101" w:hanging="283"/>
        <w:jc w:val="both"/>
        <w:rPr>
          <w:rFonts w:ascii="標楷體" w:eastAsia="標楷體" w:hAnsi="標楷體"/>
          <w:sz w:val="28"/>
        </w:rPr>
      </w:pPr>
      <w:r w:rsidRPr="00605476">
        <w:rPr>
          <w:rFonts w:ascii="標楷體" w:eastAsia="標楷體" w:hAnsi="標楷體" w:hint="eastAsia"/>
          <w:sz w:val="28"/>
        </w:rPr>
        <w:t>1.招標文件未訂明固定服務費用或費率者，以標價低者優先議價。該等廠商報價仍相同者，參考「最有利標評選辦法」第15條之1規定，由機關擇一為之，或於招標文件預先擇</w:t>
      </w:r>
      <w:proofErr w:type="gramStart"/>
      <w:r w:rsidRPr="00605476">
        <w:rPr>
          <w:rFonts w:ascii="標楷體" w:eastAsia="標楷體" w:hAnsi="標楷體" w:hint="eastAsia"/>
          <w:sz w:val="28"/>
        </w:rPr>
        <w:t>一</w:t>
      </w:r>
      <w:proofErr w:type="gramEnd"/>
      <w:r w:rsidRPr="00605476">
        <w:rPr>
          <w:rFonts w:ascii="標楷體" w:eastAsia="標楷體" w:hAnsi="標楷體" w:hint="eastAsia"/>
          <w:sz w:val="28"/>
        </w:rPr>
        <w:t>：</w:t>
      </w:r>
    </w:p>
    <w:p w:rsidR="000F0589" w:rsidRPr="00605476" w:rsidRDefault="00DA6A07" w:rsidP="00DA6A07">
      <w:pPr>
        <w:tabs>
          <w:tab w:val="left" w:pos="6360"/>
          <w:tab w:val="left" w:pos="7740"/>
        </w:tabs>
        <w:snapToGrid w:val="0"/>
        <w:spacing w:line="440" w:lineRule="exact"/>
        <w:ind w:leftChars="975" w:left="3040" w:rightChars="28" w:right="67" w:hangingChars="250" w:hanging="700"/>
        <w:jc w:val="both"/>
        <w:rPr>
          <w:rFonts w:ascii="標楷體" w:eastAsia="標楷體" w:hAnsi="標楷體"/>
          <w:sz w:val="28"/>
        </w:rPr>
      </w:pPr>
      <w:r w:rsidRPr="00605476">
        <w:rPr>
          <w:rFonts w:ascii="標楷體" w:eastAsia="標楷體" w:hAnsi="標楷體" w:hint="eastAsia"/>
          <w:sz w:val="28"/>
        </w:rPr>
        <w:t>□</w:t>
      </w:r>
      <w:r w:rsidR="000F0589" w:rsidRPr="00605476">
        <w:rPr>
          <w:rFonts w:ascii="標楷體" w:eastAsia="標楷體" w:hAnsi="標楷體" w:hint="eastAsia"/>
          <w:sz w:val="28"/>
        </w:rPr>
        <w:t>(1)</w:t>
      </w:r>
      <w:proofErr w:type="gramStart"/>
      <w:r w:rsidR="000F0589" w:rsidRPr="00605476">
        <w:rPr>
          <w:rFonts w:ascii="標楷體" w:eastAsia="標楷體" w:hAnsi="標楷體" w:hint="eastAsia"/>
          <w:sz w:val="28"/>
        </w:rPr>
        <w:t>對序位</w:t>
      </w:r>
      <w:proofErr w:type="gramEnd"/>
      <w:r w:rsidR="000F0589" w:rsidRPr="00605476">
        <w:rPr>
          <w:rFonts w:ascii="標楷體" w:eastAsia="標楷體" w:hAnsi="標楷體" w:hint="eastAsia"/>
          <w:sz w:val="28"/>
        </w:rPr>
        <w:t>合計值相同廠商再行綜合評審一次，</w:t>
      </w:r>
      <w:proofErr w:type="gramStart"/>
      <w:r w:rsidR="000F0589" w:rsidRPr="00605476">
        <w:rPr>
          <w:rFonts w:ascii="標楷體" w:eastAsia="標楷體" w:hAnsi="標楷體" w:hint="eastAsia"/>
          <w:sz w:val="28"/>
        </w:rPr>
        <w:t>以序</w:t>
      </w:r>
      <w:proofErr w:type="gramEnd"/>
      <w:r w:rsidR="000F0589" w:rsidRPr="00605476">
        <w:rPr>
          <w:rFonts w:ascii="標楷體" w:eastAsia="標楷體" w:hAnsi="標楷體" w:hint="eastAsia"/>
          <w:sz w:val="28"/>
        </w:rPr>
        <w:t>位合計值最低者優先議價。綜合評審</w:t>
      </w:r>
      <w:proofErr w:type="gramStart"/>
      <w:r w:rsidR="000F0589" w:rsidRPr="00605476">
        <w:rPr>
          <w:rFonts w:ascii="標楷體" w:eastAsia="標楷體" w:hAnsi="標楷體" w:hint="eastAsia"/>
          <w:sz w:val="28"/>
        </w:rPr>
        <w:t>後之序位</w:t>
      </w:r>
      <w:proofErr w:type="gramEnd"/>
      <w:r w:rsidR="000F0589" w:rsidRPr="00605476">
        <w:rPr>
          <w:rFonts w:ascii="標楷體" w:eastAsia="標楷體" w:hAnsi="標楷體" w:hint="eastAsia"/>
          <w:sz w:val="28"/>
        </w:rPr>
        <w:t>合計值仍相同者，抽籤決定之。</w:t>
      </w:r>
    </w:p>
    <w:p w:rsidR="000F0589" w:rsidRPr="00605476" w:rsidRDefault="00DA6A07" w:rsidP="00DA6A07">
      <w:pPr>
        <w:tabs>
          <w:tab w:val="left" w:pos="6360"/>
          <w:tab w:val="left" w:pos="7740"/>
        </w:tabs>
        <w:snapToGrid w:val="0"/>
        <w:spacing w:line="440" w:lineRule="exact"/>
        <w:ind w:leftChars="975" w:left="3040" w:rightChars="28" w:right="67" w:hangingChars="250" w:hanging="700"/>
        <w:jc w:val="both"/>
        <w:rPr>
          <w:rFonts w:ascii="標楷體" w:eastAsia="標楷體" w:hAnsi="標楷體"/>
          <w:sz w:val="28"/>
        </w:rPr>
      </w:pPr>
      <w:r w:rsidRPr="00605476">
        <w:rPr>
          <w:rFonts w:ascii="標楷體" w:eastAsia="標楷體" w:hAnsi="標楷體" w:hint="eastAsia"/>
          <w:sz w:val="28"/>
        </w:rPr>
        <w:t>□</w:t>
      </w:r>
      <w:r w:rsidR="000F0589" w:rsidRPr="00605476">
        <w:rPr>
          <w:rFonts w:ascii="標楷體" w:eastAsia="標楷體" w:hAnsi="標楷體" w:hint="eastAsia"/>
          <w:sz w:val="28"/>
        </w:rPr>
        <w:t>(2)</w:t>
      </w:r>
      <w:proofErr w:type="gramStart"/>
      <w:r w:rsidR="000F0589" w:rsidRPr="00605476">
        <w:rPr>
          <w:rFonts w:ascii="標楷體" w:eastAsia="標楷體" w:hAnsi="標楷體" w:hint="eastAsia"/>
          <w:sz w:val="28"/>
        </w:rPr>
        <w:t>擇配分</w:t>
      </w:r>
      <w:proofErr w:type="gramEnd"/>
      <w:r w:rsidR="000F0589" w:rsidRPr="00605476">
        <w:rPr>
          <w:rFonts w:ascii="標楷體" w:eastAsia="標楷體" w:hAnsi="標楷體" w:hint="eastAsia"/>
          <w:sz w:val="28"/>
        </w:rPr>
        <w:t>最高之評審項目之得分合計值較高者優先議價。得分仍相同者，抽籤決定之。</w:t>
      </w:r>
    </w:p>
    <w:p w:rsidR="000F0589" w:rsidRPr="00605476" w:rsidRDefault="00DA6A07" w:rsidP="00DA6A07">
      <w:pPr>
        <w:tabs>
          <w:tab w:val="left" w:pos="6360"/>
          <w:tab w:val="left" w:pos="7740"/>
        </w:tabs>
        <w:snapToGrid w:val="0"/>
        <w:spacing w:line="440" w:lineRule="exact"/>
        <w:ind w:leftChars="975" w:left="3040" w:rightChars="28" w:right="67" w:hangingChars="250" w:hanging="700"/>
        <w:jc w:val="both"/>
        <w:rPr>
          <w:rFonts w:ascii="標楷體" w:eastAsia="標楷體" w:hAnsi="標楷體"/>
          <w:sz w:val="28"/>
        </w:rPr>
      </w:pPr>
      <w:r w:rsidRPr="00605476">
        <w:rPr>
          <w:rFonts w:ascii="標楷體" w:eastAsia="標楷體" w:hAnsi="標楷體" w:hint="eastAsia"/>
          <w:sz w:val="28"/>
        </w:rPr>
        <w:t>■</w:t>
      </w:r>
      <w:r w:rsidR="000F0589" w:rsidRPr="00605476">
        <w:rPr>
          <w:rFonts w:ascii="標楷體" w:eastAsia="標楷體" w:hAnsi="標楷體" w:hint="eastAsia"/>
          <w:sz w:val="28"/>
        </w:rPr>
        <w:t>(3)擇獲得評審委員</w:t>
      </w:r>
      <w:proofErr w:type="gramStart"/>
      <w:r w:rsidR="000F0589" w:rsidRPr="00605476">
        <w:rPr>
          <w:rFonts w:ascii="標楷體" w:eastAsia="標楷體" w:hAnsi="標楷體" w:hint="eastAsia"/>
          <w:sz w:val="28"/>
        </w:rPr>
        <w:t>評定序</w:t>
      </w:r>
      <w:proofErr w:type="gramEnd"/>
      <w:r w:rsidR="000F0589" w:rsidRPr="00605476">
        <w:rPr>
          <w:rFonts w:ascii="標楷體" w:eastAsia="標楷體" w:hAnsi="標楷體" w:hint="eastAsia"/>
          <w:sz w:val="28"/>
        </w:rPr>
        <w:t>位第一較多者優先議價；仍相同者，抽籤決定之。</w:t>
      </w:r>
    </w:p>
    <w:p w:rsidR="000F0589" w:rsidRPr="00605476" w:rsidRDefault="000F0589" w:rsidP="000F0589">
      <w:pPr>
        <w:tabs>
          <w:tab w:val="left" w:pos="6360"/>
          <w:tab w:val="left" w:pos="7740"/>
        </w:tabs>
        <w:snapToGrid w:val="0"/>
        <w:spacing w:line="440" w:lineRule="exact"/>
        <w:ind w:leftChars="774" w:left="2141" w:rightChars="28" w:right="67" w:hangingChars="101" w:hanging="283"/>
        <w:jc w:val="both"/>
        <w:rPr>
          <w:rFonts w:ascii="標楷體" w:eastAsia="標楷體" w:hAnsi="標楷體"/>
          <w:sz w:val="28"/>
        </w:rPr>
      </w:pPr>
      <w:r w:rsidRPr="00605476">
        <w:rPr>
          <w:rFonts w:ascii="標楷體" w:eastAsia="標楷體" w:hAnsi="標楷體" w:hint="eastAsia"/>
          <w:sz w:val="28"/>
        </w:rPr>
        <w:t>2.招標文件已訂明固定服務費用或費率者，參考「最有利標評選</w:t>
      </w:r>
      <w:r w:rsidRPr="00605476">
        <w:rPr>
          <w:rFonts w:ascii="標楷體" w:eastAsia="標楷體" w:hAnsi="標楷體" w:hint="eastAsia"/>
          <w:sz w:val="28"/>
        </w:rPr>
        <w:lastRenderedPageBreak/>
        <w:t>辦法」第15條之1規定，由機關擇一為之，或於招標文件預先擇</w:t>
      </w:r>
      <w:proofErr w:type="gramStart"/>
      <w:r w:rsidRPr="00605476">
        <w:rPr>
          <w:rFonts w:ascii="標楷體" w:eastAsia="標楷體" w:hAnsi="標楷體" w:hint="eastAsia"/>
          <w:sz w:val="28"/>
        </w:rPr>
        <w:t>一</w:t>
      </w:r>
      <w:proofErr w:type="gramEnd"/>
      <w:r w:rsidRPr="00605476">
        <w:rPr>
          <w:rFonts w:ascii="標楷體" w:eastAsia="標楷體" w:hAnsi="標楷體" w:hint="eastAsia"/>
          <w:sz w:val="28"/>
        </w:rPr>
        <w:t>：</w:t>
      </w:r>
    </w:p>
    <w:p w:rsidR="000F0589" w:rsidRPr="00605476" w:rsidRDefault="00DA6A07" w:rsidP="00DA6A07">
      <w:pPr>
        <w:tabs>
          <w:tab w:val="left" w:pos="6360"/>
          <w:tab w:val="left" w:pos="7740"/>
        </w:tabs>
        <w:snapToGrid w:val="0"/>
        <w:spacing w:line="440" w:lineRule="exact"/>
        <w:ind w:leftChars="975" w:left="3040" w:rightChars="28" w:right="67" w:hangingChars="250" w:hanging="700"/>
        <w:jc w:val="both"/>
        <w:rPr>
          <w:rFonts w:ascii="標楷體" w:eastAsia="標楷體" w:hAnsi="標楷體"/>
          <w:sz w:val="28"/>
        </w:rPr>
      </w:pPr>
      <w:r w:rsidRPr="00605476">
        <w:rPr>
          <w:rFonts w:ascii="標楷體" w:eastAsia="標楷體" w:hAnsi="標楷體" w:hint="eastAsia"/>
          <w:sz w:val="28"/>
        </w:rPr>
        <w:t>□</w:t>
      </w:r>
      <w:r w:rsidR="000F0589" w:rsidRPr="00605476">
        <w:rPr>
          <w:rFonts w:ascii="標楷體" w:eastAsia="標楷體" w:hAnsi="標楷體" w:hint="eastAsia"/>
          <w:sz w:val="28"/>
        </w:rPr>
        <w:t>(1)</w:t>
      </w:r>
      <w:proofErr w:type="gramStart"/>
      <w:r w:rsidR="000F0589" w:rsidRPr="00605476">
        <w:rPr>
          <w:rFonts w:ascii="標楷體" w:eastAsia="標楷體" w:hAnsi="標楷體" w:hint="eastAsia"/>
          <w:sz w:val="28"/>
        </w:rPr>
        <w:t>對序位</w:t>
      </w:r>
      <w:proofErr w:type="gramEnd"/>
      <w:r w:rsidR="000F0589" w:rsidRPr="00605476">
        <w:rPr>
          <w:rFonts w:ascii="標楷體" w:eastAsia="標楷體" w:hAnsi="標楷體" w:hint="eastAsia"/>
          <w:sz w:val="28"/>
        </w:rPr>
        <w:t>合計值相同廠商再行綜合評審一次，</w:t>
      </w:r>
      <w:proofErr w:type="gramStart"/>
      <w:r w:rsidR="000F0589" w:rsidRPr="00605476">
        <w:rPr>
          <w:rFonts w:ascii="標楷體" w:eastAsia="標楷體" w:hAnsi="標楷體" w:hint="eastAsia"/>
          <w:sz w:val="28"/>
        </w:rPr>
        <w:t>以序</w:t>
      </w:r>
      <w:proofErr w:type="gramEnd"/>
      <w:r w:rsidR="000F0589" w:rsidRPr="00605476">
        <w:rPr>
          <w:rFonts w:ascii="標楷體" w:eastAsia="標楷體" w:hAnsi="標楷體" w:hint="eastAsia"/>
          <w:sz w:val="28"/>
        </w:rPr>
        <w:t>位合計值最低者優先議價。綜合評審</w:t>
      </w:r>
      <w:proofErr w:type="gramStart"/>
      <w:r w:rsidR="000F0589" w:rsidRPr="00605476">
        <w:rPr>
          <w:rFonts w:ascii="標楷體" w:eastAsia="標楷體" w:hAnsi="標楷體" w:hint="eastAsia"/>
          <w:sz w:val="28"/>
        </w:rPr>
        <w:t>後之序位</w:t>
      </w:r>
      <w:proofErr w:type="gramEnd"/>
      <w:r w:rsidR="000F0589" w:rsidRPr="00605476">
        <w:rPr>
          <w:rFonts w:ascii="標楷體" w:eastAsia="標楷體" w:hAnsi="標楷體" w:hint="eastAsia"/>
          <w:sz w:val="28"/>
        </w:rPr>
        <w:t>合計值仍相同者，抽籤決定之。</w:t>
      </w:r>
    </w:p>
    <w:p w:rsidR="000F0589" w:rsidRPr="00605476" w:rsidRDefault="00DA6A07" w:rsidP="00DA6A07">
      <w:pPr>
        <w:tabs>
          <w:tab w:val="left" w:pos="6360"/>
          <w:tab w:val="left" w:pos="7740"/>
        </w:tabs>
        <w:snapToGrid w:val="0"/>
        <w:spacing w:line="440" w:lineRule="exact"/>
        <w:ind w:leftChars="975" w:left="3040" w:rightChars="28" w:right="67" w:hangingChars="250" w:hanging="700"/>
        <w:jc w:val="both"/>
        <w:rPr>
          <w:rFonts w:ascii="標楷體" w:eastAsia="標楷體" w:hAnsi="標楷體"/>
          <w:sz w:val="28"/>
        </w:rPr>
      </w:pPr>
      <w:r w:rsidRPr="00605476">
        <w:rPr>
          <w:rFonts w:ascii="標楷體" w:eastAsia="標楷體" w:hAnsi="標楷體" w:hint="eastAsia"/>
          <w:sz w:val="28"/>
        </w:rPr>
        <w:t>□</w:t>
      </w:r>
      <w:r w:rsidR="000F0589" w:rsidRPr="00605476">
        <w:rPr>
          <w:rFonts w:ascii="標楷體" w:eastAsia="標楷體" w:hAnsi="標楷體" w:hint="eastAsia"/>
          <w:sz w:val="28"/>
        </w:rPr>
        <w:t>(2)</w:t>
      </w:r>
      <w:proofErr w:type="gramStart"/>
      <w:r w:rsidR="000F0589" w:rsidRPr="00605476">
        <w:rPr>
          <w:rFonts w:ascii="標楷體" w:eastAsia="標楷體" w:hAnsi="標楷體" w:hint="eastAsia"/>
          <w:sz w:val="28"/>
        </w:rPr>
        <w:t>擇配分</w:t>
      </w:r>
      <w:proofErr w:type="gramEnd"/>
      <w:r w:rsidR="000F0589" w:rsidRPr="00605476">
        <w:rPr>
          <w:rFonts w:ascii="標楷體" w:eastAsia="標楷體" w:hAnsi="標楷體" w:hint="eastAsia"/>
          <w:sz w:val="28"/>
        </w:rPr>
        <w:t>最高之評審項目之得分合計值較高者優先議價。得分仍相同者，抽籤決定之。</w:t>
      </w:r>
    </w:p>
    <w:p w:rsidR="000F0589" w:rsidRPr="00605476" w:rsidRDefault="00DA6A07" w:rsidP="00DA6A07">
      <w:pPr>
        <w:tabs>
          <w:tab w:val="left" w:pos="6360"/>
          <w:tab w:val="left" w:pos="7740"/>
        </w:tabs>
        <w:snapToGrid w:val="0"/>
        <w:spacing w:line="440" w:lineRule="exact"/>
        <w:ind w:leftChars="975" w:left="3040" w:rightChars="28" w:right="67" w:hangingChars="250" w:hanging="700"/>
        <w:jc w:val="both"/>
        <w:rPr>
          <w:rFonts w:ascii="標楷體" w:eastAsia="標楷體" w:hAnsi="標楷體"/>
          <w:sz w:val="28"/>
        </w:rPr>
      </w:pPr>
      <w:r w:rsidRPr="00605476">
        <w:rPr>
          <w:rFonts w:ascii="標楷體" w:eastAsia="標楷體" w:hAnsi="標楷體" w:hint="eastAsia"/>
          <w:sz w:val="28"/>
        </w:rPr>
        <w:t>□</w:t>
      </w:r>
      <w:r w:rsidR="000F0589" w:rsidRPr="00605476">
        <w:rPr>
          <w:rFonts w:ascii="標楷體" w:eastAsia="標楷體" w:hAnsi="標楷體" w:hint="eastAsia"/>
          <w:sz w:val="28"/>
        </w:rPr>
        <w:t>(3)擇獲得評審委員</w:t>
      </w:r>
      <w:proofErr w:type="gramStart"/>
      <w:r w:rsidR="000F0589" w:rsidRPr="00605476">
        <w:rPr>
          <w:rFonts w:ascii="標楷體" w:eastAsia="標楷體" w:hAnsi="標楷體" w:hint="eastAsia"/>
          <w:sz w:val="28"/>
        </w:rPr>
        <w:t>評定序</w:t>
      </w:r>
      <w:proofErr w:type="gramEnd"/>
      <w:r w:rsidR="000F0589" w:rsidRPr="00605476">
        <w:rPr>
          <w:rFonts w:ascii="標楷體" w:eastAsia="標楷體" w:hAnsi="標楷體" w:hint="eastAsia"/>
          <w:sz w:val="28"/>
        </w:rPr>
        <w:t>位第一較多者優先議價；仍相同者，抽籤決定之。</w:t>
      </w:r>
    </w:p>
    <w:p w:rsidR="000F0589" w:rsidRPr="00605476" w:rsidRDefault="000F0589" w:rsidP="000F0589">
      <w:pPr>
        <w:tabs>
          <w:tab w:val="left" w:pos="6360"/>
          <w:tab w:val="left" w:pos="7740"/>
        </w:tabs>
        <w:snapToGrid w:val="0"/>
        <w:spacing w:line="440" w:lineRule="exact"/>
        <w:ind w:leftChars="407" w:left="1789" w:rightChars="28" w:right="67" w:hangingChars="290" w:hanging="812"/>
        <w:jc w:val="both"/>
        <w:rPr>
          <w:rFonts w:ascii="標楷體" w:eastAsia="標楷體" w:hAnsi="標楷體"/>
          <w:sz w:val="28"/>
        </w:rPr>
      </w:pPr>
      <w:r w:rsidRPr="00605476">
        <w:rPr>
          <w:rFonts w:ascii="標楷體" w:eastAsia="標楷體" w:hAnsi="標楷體" w:hint="eastAsia"/>
          <w:sz w:val="28"/>
        </w:rPr>
        <w:t>（四）評審委員評審評分表及評審</w:t>
      </w:r>
      <w:proofErr w:type="gramStart"/>
      <w:r w:rsidRPr="00605476">
        <w:rPr>
          <w:rFonts w:ascii="標楷體" w:eastAsia="標楷體" w:hAnsi="標楷體" w:hint="eastAsia"/>
          <w:sz w:val="28"/>
        </w:rPr>
        <w:t>總表如附件</w:t>
      </w:r>
      <w:proofErr w:type="gramEnd"/>
      <w:r w:rsidRPr="00605476">
        <w:rPr>
          <w:rFonts w:ascii="標楷體" w:eastAsia="標楷體" w:hAnsi="標楷體" w:hint="eastAsia"/>
          <w:sz w:val="28"/>
        </w:rPr>
        <w:t>。</w:t>
      </w:r>
    </w:p>
    <w:p w:rsidR="000F0589" w:rsidRPr="00605476" w:rsidRDefault="000F0589" w:rsidP="000F0589">
      <w:pPr>
        <w:numPr>
          <w:ilvl w:val="0"/>
          <w:numId w:val="1"/>
        </w:numPr>
        <w:adjustRightInd/>
        <w:spacing w:line="440" w:lineRule="exact"/>
        <w:textAlignment w:val="auto"/>
        <w:rPr>
          <w:rFonts w:ascii="標楷體" w:eastAsia="標楷體" w:hAnsi="標楷體"/>
          <w:sz w:val="28"/>
        </w:rPr>
      </w:pPr>
      <w:r w:rsidRPr="00605476">
        <w:rPr>
          <w:rFonts w:ascii="標楷體" w:eastAsia="標楷體" w:hAnsi="標楷體" w:hint="eastAsia"/>
          <w:sz w:val="28"/>
        </w:rPr>
        <w:t>補充說明及規定：</w:t>
      </w:r>
    </w:p>
    <w:p w:rsidR="000F0589" w:rsidRPr="00605476" w:rsidRDefault="000F0589" w:rsidP="000F0589">
      <w:pPr>
        <w:tabs>
          <w:tab w:val="left" w:pos="6360"/>
          <w:tab w:val="left" w:pos="7740"/>
        </w:tabs>
        <w:snapToGrid w:val="0"/>
        <w:spacing w:line="440" w:lineRule="exact"/>
        <w:ind w:leftChars="407" w:left="1789" w:rightChars="28" w:right="67" w:hangingChars="290" w:hanging="812"/>
        <w:jc w:val="both"/>
        <w:rPr>
          <w:rFonts w:ascii="標楷體" w:eastAsia="標楷體" w:hAnsi="標楷體"/>
          <w:sz w:val="28"/>
        </w:rPr>
      </w:pPr>
      <w:r w:rsidRPr="00605476">
        <w:rPr>
          <w:rFonts w:ascii="標楷體" w:eastAsia="標楷體" w:hAnsi="標楷體" w:hint="eastAsia"/>
          <w:sz w:val="28"/>
        </w:rPr>
        <w:t>（一）投標文件澄清：投標文件如有需投標廠商說明者，將依政府採購法第51條及其施行細則第60條辦理。</w:t>
      </w:r>
    </w:p>
    <w:p w:rsidR="000F0589" w:rsidRPr="00605476" w:rsidRDefault="000F0589" w:rsidP="000F0589">
      <w:pPr>
        <w:tabs>
          <w:tab w:val="left" w:pos="6360"/>
          <w:tab w:val="left" w:pos="7740"/>
        </w:tabs>
        <w:snapToGrid w:val="0"/>
        <w:spacing w:line="440" w:lineRule="exact"/>
        <w:ind w:leftChars="407" w:left="1789" w:rightChars="28" w:right="67" w:hangingChars="290" w:hanging="812"/>
        <w:jc w:val="both"/>
        <w:rPr>
          <w:rFonts w:ascii="標楷體" w:eastAsia="標楷體" w:hAnsi="標楷體"/>
          <w:sz w:val="28"/>
        </w:rPr>
      </w:pPr>
      <w:r w:rsidRPr="00605476">
        <w:rPr>
          <w:rFonts w:ascii="標楷體" w:eastAsia="標楷體" w:hAnsi="標楷體" w:hint="eastAsia"/>
          <w:sz w:val="28"/>
        </w:rPr>
        <w:t>（二）評審小組委員名單保密規定（擇</w:t>
      </w:r>
      <w:proofErr w:type="gramStart"/>
      <w:r w:rsidRPr="00605476">
        <w:rPr>
          <w:rFonts w:ascii="標楷體" w:eastAsia="標楷體" w:hAnsi="標楷體" w:hint="eastAsia"/>
          <w:sz w:val="28"/>
        </w:rPr>
        <w:t>一</w:t>
      </w:r>
      <w:proofErr w:type="gramEnd"/>
      <w:r w:rsidRPr="00605476">
        <w:rPr>
          <w:rFonts w:ascii="標楷體" w:eastAsia="標楷體" w:hAnsi="標楷體" w:hint="eastAsia"/>
          <w:sz w:val="28"/>
        </w:rPr>
        <w:t>勾選）</w:t>
      </w:r>
    </w:p>
    <w:p w:rsidR="000F0589" w:rsidRPr="00605476" w:rsidRDefault="00F44500" w:rsidP="000F0589">
      <w:pPr>
        <w:tabs>
          <w:tab w:val="left" w:pos="6360"/>
          <w:tab w:val="left" w:pos="7740"/>
        </w:tabs>
        <w:snapToGrid w:val="0"/>
        <w:spacing w:line="440" w:lineRule="exact"/>
        <w:ind w:leftChars="774" w:left="2141" w:rightChars="28" w:right="67" w:hangingChars="101" w:hanging="283"/>
        <w:jc w:val="both"/>
        <w:rPr>
          <w:rFonts w:ascii="標楷體" w:eastAsia="標楷體" w:hAnsi="標楷體"/>
          <w:sz w:val="28"/>
        </w:rPr>
      </w:pPr>
      <w:r w:rsidRPr="00605476">
        <w:rPr>
          <w:rFonts w:ascii="標楷體" w:eastAsia="標楷體" w:hAnsi="標楷體" w:hint="eastAsia"/>
          <w:sz w:val="28"/>
        </w:rPr>
        <w:t>□</w:t>
      </w:r>
      <w:r w:rsidR="000F0589" w:rsidRPr="00605476">
        <w:rPr>
          <w:rFonts w:ascii="標楷體" w:eastAsia="標楷體" w:hAnsi="標楷體" w:hint="eastAsia"/>
          <w:sz w:val="28"/>
        </w:rPr>
        <w:t>本案於主管機關指定之資訊網站公開評審委員名單</w:t>
      </w:r>
      <w:proofErr w:type="gramStart"/>
      <w:r w:rsidR="000F0589" w:rsidRPr="00605476">
        <w:rPr>
          <w:rFonts w:ascii="標楷體" w:eastAsia="標楷體" w:hAnsi="標楷體" w:hint="eastAsia"/>
          <w:sz w:val="28"/>
        </w:rPr>
        <w:t>（</w:t>
      </w:r>
      <w:proofErr w:type="gramEnd"/>
      <w:r w:rsidR="000F0589" w:rsidRPr="00605476">
        <w:rPr>
          <w:rFonts w:ascii="標楷體" w:eastAsia="標楷體" w:hAnsi="標楷體" w:hint="eastAsia"/>
          <w:sz w:val="28"/>
        </w:rPr>
        <w:t>網址：http：//web.pcc.gov.tw</w:t>
      </w:r>
      <w:proofErr w:type="gramStart"/>
      <w:r w:rsidR="000F0589" w:rsidRPr="00605476">
        <w:rPr>
          <w:rFonts w:ascii="標楷體" w:eastAsia="標楷體" w:hAnsi="標楷體" w:hint="eastAsia"/>
          <w:sz w:val="28"/>
        </w:rPr>
        <w:t>）</w:t>
      </w:r>
      <w:proofErr w:type="gramEnd"/>
      <w:r w:rsidR="000F0589" w:rsidRPr="00605476">
        <w:rPr>
          <w:rFonts w:ascii="標楷體" w:eastAsia="標楷體" w:hAnsi="標楷體" w:hint="eastAsia"/>
          <w:sz w:val="28"/>
        </w:rPr>
        <w:t>。</w:t>
      </w:r>
    </w:p>
    <w:p w:rsidR="000F0589" w:rsidRPr="00605476" w:rsidRDefault="00F44500" w:rsidP="000F0589">
      <w:pPr>
        <w:tabs>
          <w:tab w:val="left" w:pos="6360"/>
          <w:tab w:val="left" w:pos="7740"/>
        </w:tabs>
        <w:snapToGrid w:val="0"/>
        <w:spacing w:line="440" w:lineRule="exact"/>
        <w:ind w:leftChars="774" w:left="2141" w:rightChars="28" w:right="67" w:hangingChars="101" w:hanging="283"/>
        <w:jc w:val="both"/>
        <w:rPr>
          <w:rFonts w:ascii="標楷體" w:eastAsia="標楷體" w:hAnsi="標楷體"/>
          <w:sz w:val="28"/>
        </w:rPr>
      </w:pPr>
      <w:r>
        <w:rPr>
          <w:rFonts w:ascii="新細明體" w:hAnsi="新細明體" w:hint="eastAsia"/>
          <w:sz w:val="28"/>
        </w:rPr>
        <w:t>■</w:t>
      </w:r>
      <w:r w:rsidR="000F0589" w:rsidRPr="00605476">
        <w:rPr>
          <w:rFonts w:ascii="標楷體" w:eastAsia="標楷體" w:hAnsi="標楷體" w:hint="eastAsia"/>
          <w:sz w:val="28"/>
        </w:rPr>
        <w:t>本案經機關衡酌個案特性及實際需要，不予公開評審委員名單，該名單於開始評審前予以保密。廠商不得探詢委員名單。</w:t>
      </w:r>
    </w:p>
    <w:p w:rsidR="000F0589" w:rsidRPr="00605476" w:rsidRDefault="000F0589" w:rsidP="000F0589">
      <w:pPr>
        <w:tabs>
          <w:tab w:val="left" w:pos="6360"/>
          <w:tab w:val="left" w:pos="7740"/>
        </w:tabs>
        <w:snapToGrid w:val="0"/>
        <w:spacing w:line="440" w:lineRule="exact"/>
        <w:ind w:leftChars="408" w:left="1822" w:rightChars="28" w:right="67" w:hangingChars="301" w:hanging="843"/>
        <w:jc w:val="both"/>
        <w:rPr>
          <w:rFonts w:ascii="標楷體" w:eastAsia="標楷體" w:hAnsi="標楷體"/>
          <w:sz w:val="28"/>
        </w:rPr>
      </w:pPr>
      <w:r w:rsidRPr="00605476">
        <w:rPr>
          <w:rFonts w:ascii="標楷體" w:eastAsia="標楷體" w:hAnsi="標楷體" w:hint="eastAsia"/>
          <w:sz w:val="28"/>
        </w:rPr>
        <w:t>（三）本機關保留本案於無法評定符合需要廠商時，得參考政府採購法第56條及第57條規定，就所有評審項目</w:t>
      </w:r>
      <w:proofErr w:type="gramStart"/>
      <w:r w:rsidRPr="00605476">
        <w:rPr>
          <w:rFonts w:ascii="標楷體" w:eastAsia="標楷體" w:hAnsi="標楷體" w:hint="eastAsia"/>
          <w:sz w:val="28"/>
        </w:rPr>
        <w:t>採</w:t>
      </w:r>
      <w:proofErr w:type="gramEnd"/>
      <w:r w:rsidRPr="00605476">
        <w:rPr>
          <w:rFonts w:ascii="標楷體" w:eastAsia="標楷體" w:hAnsi="標楷體" w:hint="eastAsia"/>
          <w:sz w:val="28"/>
        </w:rPr>
        <w:t>行協商措施之權利。</w:t>
      </w:r>
    </w:p>
    <w:p w:rsidR="008860A3" w:rsidRPr="00605476" w:rsidRDefault="008860A3"/>
    <w:sectPr w:rsidR="008860A3" w:rsidRPr="00605476" w:rsidSect="000F0589">
      <w:footerReference w:type="even" r:id="rId7"/>
      <w:footerReference w:type="default" r:id="rId8"/>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D57" w:rsidRDefault="00B23D57">
      <w:r>
        <w:separator/>
      </w:r>
    </w:p>
  </w:endnote>
  <w:endnote w:type="continuationSeparator" w:id="0">
    <w:p w:rsidR="00B23D57" w:rsidRDefault="00B2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全真楷書">
    <w:altName w:val="微軟正黑體"/>
    <w:charset w:val="88"/>
    <w:family w:val="modern"/>
    <w:pitch w:val="fixed"/>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23F" w:rsidRDefault="000F058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8023F" w:rsidRDefault="00B23D5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23F" w:rsidRDefault="000F0589">
    <w:pPr>
      <w:pStyle w:val="a3"/>
      <w:framePr w:wrap="around" w:vAnchor="text" w:hAnchor="margin" w:xAlign="center" w:y="1"/>
      <w:textDirection w:val="lrTbV"/>
      <w:rPr>
        <w:rStyle w:val="a5"/>
        <w:rFonts w:ascii="全真楷書"/>
      </w:rPr>
    </w:pPr>
    <w:r>
      <w:rPr>
        <w:rStyle w:val="a5"/>
        <w:rFonts w:ascii="全真楷書"/>
      </w:rPr>
      <w:fldChar w:fldCharType="begin"/>
    </w:r>
    <w:r>
      <w:rPr>
        <w:rStyle w:val="a5"/>
        <w:rFonts w:ascii="全真楷書"/>
      </w:rPr>
      <w:instrText xml:space="preserve">PAGE  </w:instrText>
    </w:r>
    <w:r>
      <w:rPr>
        <w:rStyle w:val="a5"/>
        <w:rFonts w:ascii="全真楷書"/>
      </w:rPr>
      <w:fldChar w:fldCharType="separate"/>
    </w:r>
    <w:r>
      <w:rPr>
        <w:rStyle w:val="a5"/>
        <w:rFonts w:ascii="全真楷書"/>
        <w:noProof/>
      </w:rPr>
      <w:t>10</w:t>
    </w:r>
    <w:r>
      <w:rPr>
        <w:rStyle w:val="a5"/>
        <w:rFonts w:ascii="全真楷書"/>
      </w:rPr>
      <w:fldChar w:fldCharType="end"/>
    </w:r>
  </w:p>
  <w:p w:rsidR="0008023F" w:rsidRDefault="00B23D5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D57" w:rsidRDefault="00B23D57">
      <w:r>
        <w:separator/>
      </w:r>
    </w:p>
  </w:footnote>
  <w:footnote w:type="continuationSeparator" w:id="0">
    <w:p w:rsidR="00B23D57" w:rsidRDefault="00B23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B0182"/>
    <w:multiLevelType w:val="hybridMultilevel"/>
    <w:tmpl w:val="646281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1B61AE4"/>
    <w:multiLevelType w:val="hybridMultilevel"/>
    <w:tmpl w:val="7ED67F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41A5025"/>
    <w:multiLevelType w:val="hybridMultilevel"/>
    <w:tmpl w:val="646281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6BC6964"/>
    <w:multiLevelType w:val="singleLevel"/>
    <w:tmpl w:val="A27ACAFA"/>
    <w:lvl w:ilvl="0">
      <w:start w:val="1"/>
      <w:numFmt w:val="taiwaneseCountingThousand"/>
      <w:lvlText w:val="%1、"/>
      <w:lvlJc w:val="left"/>
      <w:pPr>
        <w:tabs>
          <w:tab w:val="num" w:pos="855"/>
        </w:tabs>
        <w:ind w:left="855" w:hanging="585"/>
      </w:pPr>
      <w:rPr>
        <w:rFonts w:hint="eastAsia"/>
        <w:lang w:val="en-US"/>
      </w:rPr>
    </w:lvl>
  </w:abstractNum>
  <w:abstractNum w:abstractNumId="4" w15:restartNumberingAfterBreak="0">
    <w:nsid w:val="54A46933"/>
    <w:multiLevelType w:val="hybridMultilevel"/>
    <w:tmpl w:val="646281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75E7312"/>
    <w:multiLevelType w:val="hybridMultilevel"/>
    <w:tmpl w:val="7ED67F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E49741C"/>
    <w:multiLevelType w:val="hybridMultilevel"/>
    <w:tmpl w:val="6BD0A3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589"/>
    <w:rsid w:val="000F0589"/>
    <w:rsid w:val="00143B6D"/>
    <w:rsid w:val="001548E3"/>
    <w:rsid w:val="001F4E54"/>
    <w:rsid w:val="00450DC0"/>
    <w:rsid w:val="004675E0"/>
    <w:rsid w:val="005268D4"/>
    <w:rsid w:val="00533C45"/>
    <w:rsid w:val="00605476"/>
    <w:rsid w:val="006D17C0"/>
    <w:rsid w:val="008860A3"/>
    <w:rsid w:val="009F1D11"/>
    <w:rsid w:val="00A16C45"/>
    <w:rsid w:val="00A3456D"/>
    <w:rsid w:val="00B23D57"/>
    <w:rsid w:val="00C65437"/>
    <w:rsid w:val="00DA6A07"/>
    <w:rsid w:val="00E40C30"/>
    <w:rsid w:val="00F12B08"/>
    <w:rsid w:val="00F44500"/>
    <w:rsid w:val="00F479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75E78F-5B4C-4405-91F6-449C2781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0589"/>
    <w:pPr>
      <w:widowControl w:val="0"/>
      <w:adjustRightInd w:val="0"/>
      <w:textAlignment w:val="baseline"/>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F0589"/>
    <w:pPr>
      <w:tabs>
        <w:tab w:val="center" w:pos="4153"/>
        <w:tab w:val="right" w:pos="8306"/>
      </w:tabs>
    </w:pPr>
    <w:rPr>
      <w:sz w:val="20"/>
    </w:rPr>
  </w:style>
  <w:style w:type="character" w:customStyle="1" w:styleId="a4">
    <w:name w:val="頁尾 字元"/>
    <w:basedOn w:val="a0"/>
    <w:link w:val="a3"/>
    <w:rsid w:val="000F0589"/>
    <w:rPr>
      <w:rFonts w:ascii="Times New Roman" w:eastAsia="新細明體" w:hAnsi="Times New Roman" w:cs="Times New Roman"/>
      <w:sz w:val="20"/>
      <w:szCs w:val="20"/>
    </w:rPr>
  </w:style>
  <w:style w:type="character" w:styleId="a5">
    <w:name w:val="page number"/>
    <w:basedOn w:val="a0"/>
    <w:rsid w:val="000F0589"/>
  </w:style>
  <w:style w:type="paragraph" w:styleId="a6">
    <w:name w:val="header"/>
    <w:basedOn w:val="a"/>
    <w:link w:val="a7"/>
    <w:uiPriority w:val="99"/>
    <w:unhideWhenUsed/>
    <w:rsid w:val="001548E3"/>
    <w:pPr>
      <w:tabs>
        <w:tab w:val="center" w:pos="4153"/>
        <w:tab w:val="right" w:pos="8306"/>
      </w:tabs>
      <w:snapToGrid w:val="0"/>
    </w:pPr>
    <w:rPr>
      <w:sz w:val="20"/>
    </w:rPr>
  </w:style>
  <w:style w:type="character" w:customStyle="1" w:styleId="a7">
    <w:name w:val="頁首 字元"/>
    <w:basedOn w:val="a0"/>
    <w:link w:val="a6"/>
    <w:uiPriority w:val="99"/>
    <w:rsid w:val="001548E3"/>
    <w:rPr>
      <w:rFonts w:ascii="Times New Roman" w:eastAsia="新細明體" w:hAnsi="Times New Roman" w:cs="Times New Roman"/>
      <w:sz w:val="20"/>
      <w:szCs w:val="20"/>
    </w:rPr>
  </w:style>
  <w:style w:type="paragraph" w:customStyle="1" w:styleId="a8">
    <w:name w:val="一"/>
    <w:basedOn w:val="a"/>
    <w:rsid w:val="001548E3"/>
    <w:pPr>
      <w:kinsoku w:val="0"/>
      <w:spacing w:before="120" w:after="60" w:line="300" w:lineRule="auto"/>
      <w:ind w:left="567" w:hanging="567"/>
    </w:pPr>
    <w:rPr>
      <w:rFonts w:ascii="華康細明體" w:eastAsia="華康細明體"/>
      <w:spacing w:val="10"/>
      <w:kern w:val="0"/>
      <w:sz w:val="28"/>
    </w:rPr>
  </w:style>
  <w:style w:type="paragraph" w:customStyle="1" w:styleId="Default">
    <w:name w:val="Default"/>
    <w:rsid w:val="001548E3"/>
    <w:pPr>
      <w:widowControl w:val="0"/>
      <w:autoSpaceDE w:val="0"/>
      <w:autoSpaceDN w:val="0"/>
      <w:adjustRightInd w:val="0"/>
    </w:pPr>
    <w:rPr>
      <w:rFonts w:ascii="標楷體" w:eastAsia="標楷體" w:hAnsi="Calibri" w:cs="標楷體"/>
      <w:color w:val="000000"/>
      <w:kern w:val="0"/>
      <w:szCs w:val="24"/>
    </w:rPr>
  </w:style>
  <w:style w:type="paragraph" w:styleId="a9">
    <w:name w:val="List Paragraph"/>
    <w:basedOn w:val="a"/>
    <w:uiPriority w:val="34"/>
    <w:qFormat/>
    <w:rsid w:val="001548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陳成利</cp:lastModifiedBy>
  <cp:revision>2</cp:revision>
  <dcterms:created xsi:type="dcterms:W3CDTF">2023-06-08T05:48:00Z</dcterms:created>
  <dcterms:modified xsi:type="dcterms:W3CDTF">2023-06-08T05:48:00Z</dcterms:modified>
</cp:coreProperties>
</file>